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b/>
          <w:b/>
          <w:sz w:val="28"/>
        </w:rPr>
      </w:pPr>
      <w:r>
        <w:rPr>
          <w:b/>
          <w:sz w:val="28"/>
        </w:rPr>
        <w:t>[GİRİŞİM ŞİRKETİ]</w:t>
      </w:r>
      <w:r>
        <w:rPr>
          <w:rStyle w:val="DipnotSabitleyicisi"/>
          <w:b/>
          <w:sz w:val="28"/>
        </w:rPr>
        <w:footnoteReference w:id="2"/>
      </w:r>
    </w:p>
    <w:p>
      <w:pPr>
        <w:pStyle w:val="Normal"/>
        <w:spacing w:before="0" w:after="120"/>
        <w:jc w:val="center"/>
        <w:rPr>
          <w:b/>
          <w:b/>
          <w:sz w:val="28"/>
        </w:rPr>
      </w:pPr>
      <w:r>
        <w:rPr>
          <w:b/>
          <w:sz w:val="28"/>
        </w:rPr>
        <w:t>PAYA DAYALI KİTLE FONLAMASI BİLGİ FORMU</w:t>
      </w:r>
    </w:p>
    <w:p>
      <w:pPr>
        <w:pStyle w:val="Normal"/>
        <w:spacing w:before="0" w:after="120"/>
        <w:jc w:val="center"/>
        <w:rPr>
          <w:b/>
          <w:b/>
          <w:sz w:val="28"/>
        </w:rPr>
      </w:pPr>
      <w:r>
        <w:rPr>
          <w:b/>
          <w:sz w:val="28"/>
        </w:rPr>
        <w:t>(TASLAK)</w:t>
      </w:r>
    </w:p>
    <w:p>
      <w:pPr>
        <w:pStyle w:val="Normal"/>
        <w:spacing w:before="0" w:after="120"/>
        <w:ind w:firstLine="709"/>
        <w:rPr>
          <w:b/>
          <w:b/>
        </w:rPr>
      </w:pPr>
      <w:r>
        <w:rPr>
          <w:b/>
        </w:rPr>
      </w:r>
    </w:p>
    <w:p>
      <w:pPr>
        <w:pStyle w:val="Normal"/>
        <w:spacing w:before="0" w:after="120"/>
        <w:ind w:firstLine="709"/>
        <w:rPr>
          <w:b/>
          <w:b/>
        </w:rPr>
      </w:pPr>
      <w:r>
        <w:rPr>
          <w:b/>
        </w:rPr>
        <w:t>Bu bilgi formu, Sermaye Piyasası Kurulu (Kurul)’nun III-35/A.1 sayılı Paya Dayalı Kitle Fonlaması Tebliği (Tebliğ) gereği [GİRİŞİM ŞİRKETİ]’nin ihtiyaç duyduğu …………… TL tutarındaki fonun toplanabilmesi amacıyla yürütülecek olan kampanya kapsamında hazırlanmıştır. (Kampanya süresi boyunca fazla talep gelmesi halinde toplanabilecek fon tutarı …………… TL’ye kadar artırılabilecektir.)</w:t>
      </w:r>
      <w:r>
        <w:rPr>
          <w:rStyle w:val="DipnotSabitleyicisi"/>
          <w:b/>
        </w:rPr>
        <w:footnoteReference w:id="3"/>
      </w:r>
    </w:p>
    <w:p>
      <w:pPr>
        <w:pStyle w:val="Normal"/>
        <w:spacing w:before="0" w:after="120"/>
        <w:ind w:firstLine="709"/>
        <w:rPr>
          <w:b/>
          <w:b/>
        </w:rPr>
      </w:pPr>
      <w:r>
        <w:rPr>
          <w:b/>
        </w:rPr>
        <w:t>Yatırım komitesinin kitle fonlaması bilgi formunu onaylaması üye tamsayısının çoğunluğunun bu yönde karar vermesi ile mümkündür. [PLATFORM] tarafından daha ağır bir nisabın belirlenmesi mümkündür. Bu kapsamda, [PLATFORM] tarafından bilgi formunun onaylanması için belirlenen nisap ………….’dır. İşbu bilgi formu yatırım komitesinin …/…/…… tarihli kararıyla …………. olumsuz oya karşı ……………. olumlu oy ile onaylanmış olup, Kurul’un onay veya iznine tabi değildir.</w:t>
      </w:r>
    </w:p>
    <w:p>
      <w:pPr>
        <w:pStyle w:val="Normal"/>
        <w:spacing w:before="0" w:after="120"/>
        <w:ind w:firstLine="709"/>
        <w:rPr>
          <w:b/>
          <w:b/>
        </w:rPr>
      </w:pPr>
      <w:r>
        <w:rPr>
          <w:b/>
        </w:rPr>
        <w:t>Yatırımcıların [GİRİŞİM ŞİRKETİ]’ne yönelik fon sağlama taleplerini, …/…/…… ile …/…/…… tarihleri arasında gerçekleşecek olan kampanya süresi boyunca …………… adresli kampanya sayfası üzerinden [PLATFORM]’a iletmeleri gerekmektedir. Yatırım kararları, işbu bilgi formu ile birlikte kampanya sayfasında ilan edilen bilgilerin bir bütün olarak değerlendirilmesi sonucu verilmelidir.</w:t>
      </w:r>
    </w:p>
    <w:p>
      <w:pPr>
        <w:pStyle w:val="Normal"/>
        <w:spacing w:before="0" w:after="120"/>
        <w:ind w:firstLine="709"/>
        <w:rPr>
          <w:b/>
          <w:b/>
        </w:rPr>
      </w:pPr>
      <w:r>
        <w:rPr>
          <w:b/>
        </w:rPr>
        <w:t>6362 sayılı Sermaye Piyasası Kanunu’nun 35/A maddesinin altıncı fıkrası gereği bilgi formunu imzalayanlar veya bilgi formu kendi adına imzalanan tüzel kişiler, bu bilgi formunda yer alan yanlış, yanıltıcı veya eksik bilgilerden kaynaklanan zararlardan müteselsilen sorumludur.</w:t>
      </w:r>
    </w:p>
    <w:p>
      <w:pPr>
        <w:pStyle w:val="Normal"/>
        <w:spacing w:before="0" w:after="120"/>
        <w:ind w:firstLine="709"/>
        <w:rPr>
          <w:b/>
          <w:b/>
        </w:rPr>
      </w:pPr>
      <w:r>
        <w:rPr>
          <w:b/>
        </w:rPr>
        <w:t>Bu bilgi formunda ve eklerinde yer alan bilgilerin, sahip olduğumuz tüm bilgiler çerçevesinde gerçeğe uygun olduğunu ve bilgi formundaki bilgilerin anlamını değiştirecek nitelikte bir yanlışlık, yanıltıcılık ve eksiklik bulunmaması için her türlü makul özenin gösterildiğini beyan ederiz.</w:t>
      </w:r>
    </w:p>
    <w:tbl>
      <w:tblPr>
        <w:tblW w:w="907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382"/>
        <w:gridCol w:w="3687"/>
      </w:tblGrid>
      <w:tr>
        <w:trPr>
          <w:trHeight w:val="1471" w:hRule="atLeast"/>
        </w:trPr>
        <w:tc>
          <w:tcPr>
            <w:tcW w:w="5382" w:type="dxa"/>
            <w:tcBorders>
              <w:top w:val="single" w:sz="4" w:space="0" w:color="000000"/>
              <w:left w:val="single" w:sz="4" w:space="0" w:color="000000"/>
              <w:bottom w:val="single" w:sz="4" w:space="0" w:color="000000"/>
            </w:tcBorders>
            <w:shd w:color="auto" w:fill="F2F2F2" w:themeFill="background1" w:themeFillShade="f2" w:val="clear"/>
            <w:vAlign w:val="center"/>
          </w:tcPr>
          <w:p>
            <w:pPr>
              <w:pStyle w:val="Normal"/>
              <w:widowControl w:val="false"/>
              <w:snapToGrid w:val="false"/>
              <w:jc w:val="center"/>
              <w:rPr>
                <w:b/>
                <w:b/>
              </w:rPr>
            </w:pPr>
            <w:r>
              <w:rPr>
                <w:b/>
              </w:rPr>
              <w:t>[GİRİŞİM ŞİRKETİ]</w:t>
            </w:r>
          </w:p>
          <w:p>
            <w:pPr>
              <w:pStyle w:val="Normal"/>
              <w:widowControl w:val="false"/>
              <w:jc w:val="center"/>
              <w:rPr>
                <w:b/>
                <w:b/>
              </w:rPr>
            </w:pPr>
            <w:r>
              <w:rPr>
                <w:b/>
              </w:rPr>
              <w:t>Yetkilisinin/Yetkililerinin</w:t>
            </w:r>
          </w:p>
          <w:p>
            <w:pPr>
              <w:pStyle w:val="Normal"/>
              <w:widowControl w:val="false"/>
              <w:jc w:val="center"/>
              <w:rPr>
                <w:b/>
                <w:b/>
              </w:rPr>
            </w:pPr>
            <w:r>
              <w:rPr>
                <w:b/>
              </w:rPr>
              <w:t>Adı, Soyadı, Görevi, Tarih ve İmza</w:t>
            </w:r>
          </w:p>
        </w:tc>
        <w:tc>
          <w:tcPr>
            <w:tcW w:w="368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napToGrid w:val="false"/>
              <w:jc w:val="center"/>
              <w:rPr>
                <w:b/>
                <w:b/>
              </w:rPr>
            </w:pPr>
            <w:r>
              <w:rPr>
                <w:b/>
              </w:rPr>
              <w:t>Sorumlu Olduğu Kısım</w:t>
            </w:r>
          </w:p>
        </w:tc>
      </w:tr>
      <w:tr>
        <w:trPr>
          <w:trHeight w:val="1124" w:hRule="atLeast"/>
        </w:trPr>
        <w:tc>
          <w:tcPr>
            <w:tcW w:w="5382" w:type="dxa"/>
            <w:tcBorders>
              <w:top w:val="single" w:sz="4" w:space="0" w:color="000000"/>
              <w:left w:val="single" w:sz="4" w:space="0" w:color="000000"/>
              <w:bottom w:val="single" w:sz="4" w:space="0" w:color="000000"/>
            </w:tcBorders>
            <w:vAlign w:val="center"/>
          </w:tcPr>
          <w:p>
            <w:pPr>
              <w:pStyle w:val="Normal"/>
              <w:widowControl w:val="false"/>
              <w:jc w:val="center"/>
              <w:rPr>
                <w:b/>
                <w:b/>
              </w:rPr>
            </w:pPr>
            <w:r>
              <w:rPr>
                <w:b/>
              </w:rPr>
            </w:r>
          </w:p>
        </w:tc>
        <w:tc>
          <w:tcPr>
            <w:tcW w:w="36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BİLGİ FORMUNUN TAMAMI</w:t>
            </w:r>
          </w:p>
        </w:tc>
      </w:tr>
    </w:tbl>
    <w:p>
      <w:pPr>
        <w:pStyle w:val="Normal"/>
        <w:spacing w:before="0" w:after="120"/>
        <w:ind w:firstLine="709"/>
        <w:rPr>
          <w:b/>
          <w:b/>
        </w:rPr>
      </w:pPr>
      <w:r>
        <w:rPr>
          <w:b/>
        </w:rPr>
      </w:r>
    </w:p>
    <w:tbl>
      <w:tblPr>
        <w:tblW w:w="907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382"/>
        <w:gridCol w:w="3687"/>
      </w:tblGrid>
      <w:tr>
        <w:trPr>
          <w:trHeight w:val="1471" w:hRule="atLeast"/>
        </w:trPr>
        <w:tc>
          <w:tcPr>
            <w:tcW w:w="5382" w:type="dxa"/>
            <w:tcBorders>
              <w:top w:val="single" w:sz="4" w:space="0" w:color="000000"/>
              <w:left w:val="single" w:sz="4" w:space="0" w:color="000000"/>
              <w:bottom w:val="single" w:sz="4" w:space="0" w:color="000000"/>
            </w:tcBorders>
            <w:shd w:color="auto" w:fill="F2F2F2" w:themeFill="background1" w:themeFillShade="f2" w:val="clear"/>
            <w:vAlign w:val="center"/>
          </w:tcPr>
          <w:p>
            <w:pPr>
              <w:pStyle w:val="Normal"/>
              <w:widowControl w:val="false"/>
              <w:snapToGrid w:val="false"/>
              <w:jc w:val="center"/>
              <w:rPr>
                <w:b/>
                <w:b/>
              </w:rPr>
            </w:pPr>
            <w:r>
              <w:rPr>
                <w:b/>
              </w:rPr>
              <w:t>[PLATFORM]</w:t>
            </w:r>
          </w:p>
          <w:p>
            <w:pPr>
              <w:pStyle w:val="Normal"/>
              <w:widowControl w:val="false"/>
              <w:jc w:val="center"/>
              <w:rPr>
                <w:b/>
                <w:b/>
              </w:rPr>
            </w:pPr>
            <w:r>
              <w:rPr>
                <w:b/>
              </w:rPr>
              <w:t>Yatırım Komitesi Üyelerinin</w:t>
            </w:r>
          </w:p>
          <w:p>
            <w:pPr>
              <w:pStyle w:val="Normal"/>
              <w:widowControl w:val="false"/>
              <w:jc w:val="center"/>
              <w:rPr>
                <w:b/>
                <w:b/>
              </w:rPr>
            </w:pPr>
            <w:r>
              <w:rPr>
                <w:b/>
              </w:rPr>
              <w:t>Adı, Soyadı, Görevi, Tarih ve İmza</w:t>
            </w:r>
          </w:p>
        </w:tc>
        <w:tc>
          <w:tcPr>
            <w:tcW w:w="368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napToGrid w:val="false"/>
              <w:jc w:val="center"/>
              <w:rPr>
                <w:b/>
                <w:b/>
              </w:rPr>
            </w:pPr>
            <w:r>
              <w:rPr>
                <w:b/>
              </w:rPr>
              <w:t>Sorumlu Olduğu Kısım</w:t>
            </w:r>
          </w:p>
        </w:tc>
      </w:tr>
      <w:tr>
        <w:trPr>
          <w:trHeight w:val="1124" w:hRule="atLeast"/>
        </w:trPr>
        <w:tc>
          <w:tcPr>
            <w:tcW w:w="5382" w:type="dxa"/>
            <w:tcBorders>
              <w:top w:val="single" w:sz="4" w:space="0" w:color="000000"/>
              <w:left w:val="single" w:sz="4" w:space="0" w:color="000000"/>
              <w:bottom w:val="single" w:sz="4" w:space="0" w:color="000000"/>
            </w:tcBorders>
            <w:vAlign w:val="center"/>
          </w:tcPr>
          <w:p>
            <w:pPr>
              <w:pStyle w:val="Normal"/>
              <w:widowControl w:val="false"/>
              <w:jc w:val="center"/>
              <w:rPr>
                <w:b/>
                <w:b/>
              </w:rPr>
            </w:pPr>
            <w:r>
              <w:rPr>
                <w:b/>
              </w:rPr>
            </w:r>
          </w:p>
        </w:tc>
        <w:tc>
          <w:tcPr>
            <w:tcW w:w="36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BİLGİ FORMUNUN TAMAMI</w:t>
            </w:r>
          </w:p>
        </w:tc>
      </w:tr>
    </w:tbl>
    <w:p>
      <w:pPr>
        <w:pStyle w:val="Normal"/>
        <w:spacing w:before="0" w:after="120"/>
        <w:ind w:firstLine="709"/>
        <w:rPr>
          <w:b/>
          <w:b/>
        </w:rPr>
      </w:pPr>
      <w:r>
        <w:rPr>
          <w:b/>
        </w:rPr>
      </w:r>
    </w:p>
    <w:p>
      <w:pPr>
        <w:pStyle w:val="Normal"/>
        <w:spacing w:before="0" w:after="120"/>
        <w:ind w:firstLine="709"/>
        <w:rPr>
          <w:b/>
          <w:b/>
        </w:rPr>
      </w:pPr>
      <w:r>
        <w:rPr>
          <w:b/>
        </w:rPr>
        <w:t>UYARI:</w:t>
      </w:r>
    </w:p>
    <w:p>
      <w:pPr>
        <w:pStyle w:val="Normal"/>
        <w:spacing w:before="0" w:after="120"/>
        <w:ind w:firstLine="709"/>
        <w:rPr>
          <w:b/>
          <w:b/>
        </w:rPr>
      </w:pPr>
      <w:r>
        <w:rPr>
          <w:b/>
        </w:rPr>
        <w:t xml:space="preserve">Bu bilgi formu, </w:t>
      </w:r>
      <w:r>
        <w:rPr>
          <w:b/>
          <w:i/>
        </w:rPr>
        <w:t>“düşünülmektedir”</w:t>
      </w:r>
      <w:r>
        <w:rPr>
          <w:b/>
        </w:rPr>
        <w:t xml:space="preserve">, </w:t>
      </w:r>
      <w:r>
        <w:rPr>
          <w:b/>
          <w:i/>
        </w:rPr>
        <w:t>“planlanmaktadır”</w:t>
      </w:r>
      <w:r>
        <w:rPr>
          <w:b/>
        </w:rPr>
        <w:t xml:space="preserve">, </w:t>
      </w:r>
      <w:r>
        <w:rPr>
          <w:b/>
          <w:i/>
        </w:rPr>
        <w:t>“hedeflenmektedir”</w:t>
      </w:r>
      <w:r>
        <w:rPr>
          <w:b/>
        </w:rPr>
        <w:t xml:space="preserve">, </w:t>
      </w:r>
      <w:r>
        <w:rPr>
          <w:b/>
          <w:i/>
        </w:rPr>
        <w:t>“tahmin edilmektedir”</w:t>
      </w:r>
      <w:r>
        <w:rPr>
          <w:b/>
        </w:rPr>
        <w:t xml:space="preserve">, </w:t>
      </w:r>
      <w:r>
        <w:rPr>
          <w:b/>
          <w:i/>
        </w:rPr>
        <w:t>“öngörülmektedir”</w:t>
      </w:r>
      <w:r>
        <w:rPr>
          <w:b/>
        </w:rPr>
        <w:t xml:space="preserve">, </w:t>
      </w:r>
      <w:r>
        <w:rPr>
          <w:b/>
          <w:i/>
        </w:rPr>
        <w:t>“amaçlanmaktadır”</w:t>
      </w:r>
      <w:r>
        <w:rPr>
          <w:b/>
        </w:rPr>
        <w:t xml:space="preserve"> ve </w:t>
      </w:r>
      <w:r>
        <w:rPr>
          <w:b/>
          <w:i/>
        </w:rPr>
        <w:t>“beklenmektedir”</w:t>
      </w:r>
      <w:r>
        <w:rPr>
          <w:b/>
        </w:rPr>
        <w:t xml:space="preserve"> gibi kelimelerle ifade edilen geleceğe yönelik açıklamalar içermektedir. Bu tür açıklamalar belirsizlik ve risk içermekte olup, sadece bilgi formunun yayım tarihindeki öngörüleri ve beklentileri göstermektedir. Birçok faktör, girişim şirketinin ve platformun geleceğe yönelik beklentilerinin öngörülenden çok daha farklı sonuçlanmasına yol açabilecektir. Özellikle kar tahmin ve beklentileri gerçekleşebilecek olandan daha iyimser senaryoları içerebilir. Yatırımcıların, girişim şirketinin ticari hedeflerine ulaşamama riskinin bulunduğu ve bu tip şirketlere yapılan yatırımların oldukça yüksek riskler barındırdığı hususlarında bilgi sahibi olmaları gerekmektedir.</w:t>
      </w:r>
    </w:p>
    <w:p>
      <w:pPr>
        <w:pStyle w:val="Normal"/>
        <w:spacing w:before="0" w:after="120"/>
        <w:ind w:firstLine="709"/>
        <w:rPr>
          <w:b/>
          <w:b/>
        </w:rPr>
      </w:pPr>
      <w:r>
        <w:rPr>
          <w:b/>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ÖZET</w:t>
      </w:r>
    </w:p>
    <w:tbl>
      <w:tblPr>
        <w:tblW w:w="90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87"/>
        <w:gridCol w:w="284"/>
        <w:gridCol w:w="5400"/>
      </w:tblGrid>
      <w:tr>
        <w:trPr>
          <w:trHeight w:val="397" w:hRule="atLeast"/>
        </w:trPr>
        <w:tc>
          <w:tcPr>
            <w:tcW w:w="9071" w:type="dxa"/>
            <w:gridSpan w:val="3"/>
            <w:tcBorders>
              <w:bottom w:val="single" w:sz="4" w:space="0" w:color="000000"/>
            </w:tcBorders>
            <w:shd w:color="auto" w:fill="auto" w:val="clear"/>
            <w:vAlign w:val="center"/>
          </w:tcPr>
          <w:p>
            <w:pPr>
              <w:pStyle w:val="Normal"/>
              <w:widowControl w:val="false"/>
              <w:ind w:right="47" w:hanging="0"/>
              <w:rPr>
                <w:b/>
                <w:b/>
              </w:rPr>
            </w:pPr>
            <w:r>
              <w:rPr>
                <w:b/>
              </w:rPr>
              <w:t>Girişim Şirketi Hakkında Özet Bilgiler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Ticaret Unvanı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Tam ticaret unvanı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İşletme Adı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Varsa İşletme adı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Merkez Adresi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Tescil edilmiş adresine yer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Telefon Numarası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Aktif olarak kullanılan telefon numarası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İnternet Sitesi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Düzenli olarak kullanılan tescil edilmiş internet sitesi belirtilecektir.</w:t>
            </w:r>
          </w:p>
        </w:tc>
      </w:tr>
    </w:tbl>
    <w:p>
      <w:pPr>
        <w:pStyle w:val="Normal"/>
        <w:spacing w:before="0" w:after="120"/>
        <w:ind w:firstLine="709"/>
        <w:rPr/>
      </w:pPr>
      <w:r>
        <w:rPr/>
      </w:r>
    </w:p>
    <w:tbl>
      <w:tblPr>
        <w:tblW w:w="90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87"/>
        <w:gridCol w:w="284"/>
        <w:gridCol w:w="5400"/>
      </w:tblGrid>
      <w:tr>
        <w:trPr>
          <w:trHeight w:val="397" w:hRule="atLeast"/>
        </w:trPr>
        <w:tc>
          <w:tcPr>
            <w:tcW w:w="9071" w:type="dxa"/>
            <w:gridSpan w:val="3"/>
            <w:tcBorders>
              <w:bottom w:val="single" w:sz="4" w:space="0" w:color="000000"/>
            </w:tcBorders>
            <w:shd w:color="auto" w:fill="auto" w:val="clear"/>
            <w:vAlign w:val="center"/>
          </w:tcPr>
          <w:p>
            <w:pPr>
              <w:pStyle w:val="Normal"/>
              <w:widowControl w:val="false"/>
              <w:ind w:right="47" w:hanging="0"/>
              <w:rPr>
                <w:b/>
                <w:b/>
              </w:rPr>
            </w:pPr>
            <w:r>
              <w:rPr>
                <w:b/>
              </w:rPr>
              <w:t>Platform Hakkında Özet Bilgiler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Ticaret Unvanı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Tam ticaret unvanı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İşletme Adı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Varsa İşletme adı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Merkez Adresi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Tescil edilmiş adresine yer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Listeye Alınma Tarihi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Kurul listesine alınma tarihine yer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Telefon Numarası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Üyelerle iletişim amaçlı kullanılan telefon numarası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İnternet Sitesi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Operasyon için kullanılan ve üyelerin erişimine açık bulunan internet sitesi belirtilecektir.</w:t>
            </w:r>
          </w:p>
        </w:tc>
      </w:tr>
    </w:tbl>
    <w:p>
      <w:pPr>
        <w:pStyle w:val="Normal"/>
        <w:spacing w:before="0" w:after="120"/>
        <w:ind w:firstLine="709"/>
        <w:rPr/>
      </w:pPr>
      <w:r>
        <w:rPr/>
      </w:r>
    </w:p>
    <w:p>
      <w:pPr>
        <w:pStyle w:val="Normal"/>
        <w:spacing w:before="0" w:after="120"/>
        <w:ind w:firstLine="709"/>
        <w:rPr/>
      </w:pPr>
      <w:r>
        <w:rPr/>
      </w:r>
    </w:p>
    <w:tbl>
      <w:tblPr>
        <w:tblW w:w="90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87"/>
        <w:gridCol w:w="284"/>
        <w:gridCol w:w="5400"/>
      </w:tblGrid>
      <w:tr>
        <w:trPr>
          <w:trHeight w:val="397" w:hRule="atLeast"/>
        </w:trPr>
        <w:tc>
          <w:tcPr>
            <w:tcW w:w="9071" w:type="dxa"/>
            <w:gridSpan w:val="3"/>
            <w:tcBorders>
              <w:bottom w:val="single" w:sz="4" w:space="0" w:color="000000"/>
            </w:tcBorders>
            <w:shd w:color="auto" w:fill="auto" w:val="clear"/>
            <w:vAlign w:val="center"/>
          </w:tcPr>
          <w:p>
            <w:pPr>
              <w:pStyle w:val="Normal"/>
              <w:widowControl w:val="false"/>
              <w:ind w:right="47" w:hanging="0"/>
              <w:rPr>
                <w:b/>
                <w:b/>
              </w:rPr>
            </w:pPr>
            <w:r>
              <w:rPr>
                <w:b/>
              </w:rPr>
              <w:t>Kampanya Hakkında Özet Bilgiler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Hedeflenen Fon Tutarı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Hedeflenen fon tutarı ve varsa ek satış dahil artırılabilecek tutar da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Kampanya Sayfası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Kampanya sayfasının erişim linki verilecektir.</w:t>
            </w:r>
          </w:p>
        </w:tc>
      </w:tr>
      <w:tr>
        <w:trPr>
          <w:trHeight w:val="340" w:hRule="atLeast"/>
        </w:trPr>
        <w:tc>
          <w:tcPr>
            <w:tcW w:w="3387" w:type="dxa"/>
            <w:tcBorders>
              <w:top w:val="single" w:sz="4" w:space="0" w:color="000000"/>
            </w:tcBorders>
            <w:shd w:color="auto" w:fill="auto" w:val="clear"/>
            <w:vAlign w:val="center"/>
          </w:tcPr>
          <w:p>
            <w:pPr>
              <w:pStyle w:val="Normal"/>
              <w:widowControl w:val="false"/>
              <w:ind w:right="-468" w:hanging="0"/>
              <w:rPr>
                <w:b/>
                <w:b/>
              </w:rPr>
            </w:pPr>
            <w:r>
              <w:rPr>
                <w:b/>
              </w:rPr>
              <w:t>Kampanya Süresi</w:t>
            </w:r>
          </w:p>
        </w:tc>
        <w:tc>
          <w:tcPr>
            <w:tcW w:w="284" w:type="dxa"/>
            <w:tcBorders>
              <w:top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tcBorders>
            <w:shd w:color="auto" w:fill="auto" w:val="clear"/>
            <w:vAlign w:val="center"/>
          </w:tcPr>
          <w:p>
            <w:pPr>
              <w:pStyle w:val="Normal"/>
              <w:widowControl w:val="false"/>
              <w:ind w:right="47" w:hanging="0"/>
              <w:rPr>
                <w:i/>
                <w:i/>
              </w:rPr>
            </w:pPr>
            <w:r>
              <w:rPr>
                <w:i/>
              </w:rPr>
              <w:t>Kampanya süresi gün olarak belirtilecektir.</w:t>
            </w:r>
          </w:p>
        </w:tc>
      </w:tr>
      <w:tr>
        <w:trPr>
          <w:trHeight w:val="340" w:hRule="atLeast"/>
        </w:trPr>
        <w:tc>
          <w:tcPr>
            <w:tcW w:w="3387" w:type="dxa"/>
            <w:tcBorders/>
            <w:shd w:color="auto" w:fill="auto" w:val="clear"/>
            <w:vAlign w:val="center"/>
          </w:tcPr>
          <w:p>
            <w:pPr>
              <w:pStyle w:val="Normal"/>
              <w:widowControl w:val="false"/>
              <w:tabs>
                <w:tab w:val="clear" w:pos="709"/>
                <w:tab w:val="left" w:pos="282" w:leader="none"/>
              </w:tabs>
              <w:ind w:right="-468" w:hanging="0"/>
              <w:rPr>
                <w:b/>
                <w:b/>
              </w:rPr>
            </w:pPr>
            <w:r>
              <w:rPr>
                <w:b/>
              </w:rPr>
              <w:tab/>
              <w:t>Başlangıç Tarihi</w:t>
            </w:r>
          </w:p>
        </w:tc>
        <w:tc>
          <w:tcPr>
            <w:tcW w:w="284" w:type="dxa"/>
            <w:tcBorders/>
            <w:shd w:color="auto" w:fill="auto" w:val="clear"/>
            <w:vAlign w:val="center"/>
          </w:tcPr>
          <w:p>
            <w:pPr>
              <w:pStyle w:val="Normal"/>
              <w:widowControl w:val="false"/>
              <w:ind w:right="-468" w:hanging="0"/>
              <w:jc w:val="left"/>
              <w:rPr>
                <w:b/>
                <w:b/>
              </w:rPr>
            </w:pPr>
            <w:r>
              <w:rPr>
                <w:b/>
              </w:rPr>
              <w:t>:</w:t>
            </w:r>
          </w:p>
        </w:tc>
        <w:tc>
          <w:tcPr>
            <w:tcW w:w="5400" w:type="dxa"/>
            <w:tcBorders/>
            <w:shd w:color="auto" w:fill="auto" w:val="clear"/>
            <w:vAlign w:val="center"/>
          </w:tcPr>
          <w:p>
            <w:pPr>
              <w:pStyle w:val="Normal"/>
              <w:widowControl w:val="false"/>
              <w:ind w:right="47" w:hanging="0"/>
              <w:rPr>
                <w:i/>
                <w:i/>
              </w:rPr>
            </w:pPr>
            <w:r>
              <w:rPr>
                <w:i/>
              </w:rPr>
              <w:t>Kampanya süresinin başlangıç tarihine yer verilecektir.</w:t>
            </w:r>
          </w:p>
        </w:tc>
      </w:tr>
      <w:tr>
        <w:trPr>
          <w:trHeight w:val="340" w:hRule="atLeast"/>
        </w:trPr>
        <w:tc>
          <w:tcPr>
            <w:tcW w:w="3387" w:type="dxa"/>
            <w:tcBorders>
              <w:bottom w:val="single" w:sz="4" w:space="0" w:color="000000"/>
            </w:tcBorders>
            <w:shd w:color="auto" w:fill="auto" w:val="clear"/>
            <w:vAlign w:val="center"/>
          </w:tcPr>
          <w:p>
            <w:pPr>
              <w:pStyle w:val="Normal"/>
              <w:widowControl w:val="false"/>
              <w:tabs>
                <w:tab w:val="clear" w:pos="709"/>
                <w:tab w:val="left" w:pos="282" w:leader="none"/>
              </w:tabs>
              <w:ind w:right="-468" w:hanging="0"/>
              <w:rPr>
                <w:b/>
                <w:b/>
              </w:rPr>
            </w:pPr>
            <w:r>
              <w:rPr>
                <w:b/>
              </w:rPr>
              <w:tab/>
              <w:t>Bitiş Tarihi</w:t>
            </w:r>
          </w:p>
        </w:tc>
        <w:tc>
          <w:tcPr>
            <w:tcW w:w="284" w:type="dxa"/>
            <w:tcBorders>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bottom w:val="single" w:sz="4" w:space="0" w:color="000000"/>
            </w:tcBorders>
            <w:shd w:color="auto" w:fill="auto" w:val="clear"/>
            <w:vAlign w:val="center"/>
          </w:tcPr>
          <w:p>
            <w:pPr>
              <w:pStyle w:val="Normal"/>
              <w:widowControl w:val="false"/>
              <w:ind w:right="47" w:hanging="0"/>
              <w:rPr>
                <w:i/>
                <w:i/>
              </w:rPr>
            </w:pPr>
            <w:r>
              <w:rPr>
                <w:i/>
              </w:rPr>
              <w:t>Kampanya süresinin bitiş tarihine yer verilecek, Tebliğ’in 17 nci maddesinin beşinci fıkrası uyarınca kampanya süresinin erken sonlandırılabilecek olması halinde bu durum ayrıca belirtilecektir.</w:t>
            </w:r>
          </w:p>
        </w:tc>
      </w:tr>
      <w:tr>
        <w:trPr>
          <w:trHeight w:val="340" w:hRule="atLeast"/>
        </w:trPr>
        <w:tc>
          <w:tcPr>
            <w:tcW w:w="3387" w:type="dxa"/>
            <w:tcBorders>
              <w:top w:val="single" w:sz="4" w:space="0" w:color="000000"/>
            </w:tcBorders>
            <w:shd w:color="auto" w:fill="auto" w:val="clear"/>
            <w:vAlign w:val="center"/>
          </w:tcPr>
          <w:p>
            <w:pPr>
              <w:pStyle w:val="Normal"/>
              <w:widowControl w:val="false"/>
              <w:ind w:right="-468" w:hanging="0"/>
              <w:rPr>
                <w:b/>
                <w:b/>
              </w:rPr>
            </w:pPr>
            <w:r>
              <w:rPr>
                <w:b/>
              </w:rPr>
              <w:t>Çıkarılacak Payların</w:t>
            </w:r>
          </w:p>
        </w:tc>
        <w:tc>
          <w:tcPr>
            <w:tcW w:w="284" w:type="dxa"/>
            <w:tcBorders>
              <w:top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tcBorders>
            <w:shd w:color="auto" w:fill="auto" w:val="clear"/>
            <w:vAlign w:val="center"/>
          </w:tcPr>
          <w:p>
            <w:pPr>
              <w:pStyle w:val="Normal"/>
              <w:widowControl w:val="false"/>
              <w:ind w:right="47" w:hanging="0"/>
              <w:rPr/>
            </w:pPr>
            <w:r>
              <w:rPr/>
            </w:r>
          </w:p>
        </w:tc>
      </w:tr>
      <w:tr>
        <w:trPr>
          <w:trHeight w:val="340" w:hRule="atLeast"/>
        </w:trPr>
        <w:tc>
          <w:tcPr>
            <w:tcW w:w="3387" w:type="dxa"/>
            <w:tcBorders/>
            <w:shd w:color="auto" w:fill="auto" w:val="clear"/>
            <w:vAlign w:val="center"/>
          </w:tcPr>
          <w:p>
            <w:pPr>
              <w:pStyle w:val="Normal"/>
              <w:widowControl w:val="false"/>
              <w:tabs>
                <w:tab w:val="clear" w:pos="709"/>
                <w:tab w:val="left" w:pos="282" w:leader="none"/>
              </w:tabs>
              <w:ind w:right="-468" w:hanging="0"/>
              <w:rPr>
                <w:b/>
                <w:b/>
              </w:rPr>
            </w:pPr>
            <w:r>
              <w:rPr>
                <w:b/>
              </w:rPr>
              <w:tab/>
              <w:t>Türü</w:t>
            </w:r>
          </w:p>
        </w:tc>
        <w:tc>
          <w:tcPr>
            <w:tcW w:w="284" w:type="dxa"/>
            <w:tcBorders/>
            <w:shd w:color="auto" w:fill="auto" w:val="clear"/>
            <w:vAlign w:val="center"/>
          </w:tcPr>
          <w:p>
            <w:pPr>
              <w:pStyle w:val="Normal"/>
              <w:widowControl w:val="false"/>
              <w:ind w:right="-468" w:hanging="0"/>
              <w:jc w:val="left"/>
              <w:rPr>
                <w:b/>
                <w:b/>
              </w:rPr>
            </w:pPr>
            <w:r>
              <w:rPr>
                <w:b/>
              </w:rPr>
              <w:t>:</w:t>
            </w:r>
          </w:p>
        </w:tc>
        <w:tc>
          <w:tcPr>
            <w:tcW w:w="5400" w:type="dxa"/>
            <w:tcBorders/>
            <w:shd w:color="auto" w:fill="auto" w:val="clear"/>
            <w:vAlign w:val="center"/>
          </w:tcPr>
          <w:p>
            <w:pPr>
              <w:pStyle w:val="Normal"/>
              <w:widowControl w:val="false"/>
              <w:ind w:right="47" w:hanging="0"/>
              <w:rPr>
                <w:i/>
                <w:i/>
              </w:rPr>
            </w:pPr>
            <w:r>
              <w:rPr>
                <w:i/>
              </w:rPr>
              <w:t>Toplanan fon karşılığı yatırımcılara verilecek payların türü (nama-hamiline) ile varsa grubu ve imtiyazları belirtilecektir.</w:t>
            </w:r>
          </w:p>
        </w:tc>
      </w:tr>
      <w:tr>
        <w:trPr>
          <w:trHeight w:val="340" w:hRule="atLeast"/>
        </w:trPr>
        <w:tc>
          <w:tcPr>
            <w:tcW w:w="3387" w:type="dxa"/>
            <w:tcBorders/>
            <w:shd w:color="auto" w:fill="auto" w:val="clear"/>
            <w:vAlign w:val="center"/>
          </w:tcPr>
          <w:p>
            <w:pPr>
              <w:pStyle w:val="Normal"/>
              <w:widowControl w:val="false"/>
              <w:tabs>
                <w:tab w:val="clear" w:pos="709"/>
                <w:tab w:val="left" w:pos="282" w:leader="none"/>
              </w:tabs>
              <w:ind w:right="-468" w:hanging="0"/>
              <w:rPr>
                <w:b/>
                <w:b/>
              </w:rPr>
            </w:pPr>
            <w:r>
              <w:rPr>
                <w:b/>
              </w:rPr>
              <w:tab/>
              <w:t>Nominal Değeri</w:t>
            </w:r>
          </w:p>
        </w:tc>
        <w:tc>
          <w:tcPr>
            <w:tcW w:w="284" w:type="dxa"/>
            <w:tcBorders/>
            <w:shd w:color="auto" w:fill="auto" w:val="clear"/>
            <w:vAlign w:val="center"/>
          </w:tcPr>
          <w:p>
            <w:pPr>
              <w:pStyle w:val="Normal"/>
              <w:widowControl w:val="false"/>
              <w:ind w:right="-468" w:hanging="0"/>
              <w:jc w:val="left"/>
              <w:rPr>
                <w:b/>
                <w:b/>
              </w:rPr>
            </w:pPr>
            <w:r>
              <w:rPr>
                <w:b/>
              </w:rPr>
              <w:t>:</w:t>
            </w:r>
          </w:p>
        </w:tc>
        <w:tc>
          <w:tcPr>
            <w:tcW w:w="5400" w:type="dxa"/>
            <w:tcBorders/>
            <w:shd w:color="auto" w:fill="auto" w:val="clear"/>
            <w:vAlign w:val="center"/>
          </w:tcPr>
          <w:p>
            <w:pPr>
              <w:pStyle w:val="Normal"/>
              <w:widowControl w:val="false"/>
              <w:ind w:right="47" w:hanging="0"/>
              <w:rPr>
                <w:i/>
                <w:i/>
              </w:rPr>
            </w:pPr>
            <w:r>
              <w:rPr>
                <w:i/>
              </w:rPr>
              <w:t>Çıkarılacak payların birim ve toplam nominal değerleri hakkında bilgi verilecektir.</w:t>
            </w:r>
          </w:p>
        </w:tc>
      </w:tr>
      <w:tr>
        <w:trPr>
          <w:trHeight w:val="340" w:hRule="atLeast"/>
        </w:trPr>
        <w:tc>
          <w:tcPr>
            <w:tcW w:w="3387" w:type="dxa"/>
            <w:tcBorders>
              <w:bottom w:val="single" w:sz="4" w:space="0" w:color="000000"/>
            </w:tcBorders>
            <w:shd w:color="auto" w:fill="auto" w:val="clear"/>
            <w:vAlign w:val="center"/>
          </w:tcPr>
          <w:p>
            <w:pPr>
              <w:pStyle w:val="Normal"/>
              <w:widowControl w:val="false"/>
              <w:tabs>
                <w:tab w:val="clear" w:pos="709"/>
                <w:tab w:val="left" w:pos="282" w:leader="none"/>
              </w:tabs>
              <w:ind w:right="-468" w:hanging="0"/>
              <w:rPr>
                <w:b/>
                <w:b/>
              </w:rPr>
            </w:pPr>
            <w:r>
              <w:rPr>
                <w:b/>
              </w:rPr>
              <w:tab/>
              <w:t>Satış Fiyatı</w:t>
            </w:r>
            <w:r>
              <w:rPr>
                <w:rStyle w:val="DipnotSabitleyicisi"/>
                <w:b/>
              </w:rPr>
              <w:footnoteReference w:id="4"/>
            </w:r>
          </w:p>
        </w:tc>
        <w:tc>
          <w:tcPr>
            <w:tcW w:w="284" w:type="dxa"/>
            <w:tcBorders>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bottom w:val="single" w:sz="4" w:space="0" w:color="000000"/>
            </w:tcBorders>
            <w:shd w:color="auto" w:fill="auto" w:val="clear"/>
            <w:vAlign w:val="center"/>
          </w:tcPr>
          <w:p>
            <w:pPr>
              <w:pStyle w:val="Normal"/>
              <w:widowControl w:val="false"/>
              <w:ind w:right="47" w:hanging="0"/>
              <w:rPr>
                <w:i/>
                <w:i/>
              </w:rPr>
            </w:pPr>
            <w:r>
              <w:rPr>
                <w:i/>
              </w:rPr>
              <w:t>Çıkarılacak birim payın satış fiyatı hakkında bilgi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 xml:space="preserve">Asgari ve Azami Yatırım </w:t>
            </w:r>
          </w:p>
          <w:p>
            <w:pPr>
              <w:pStyle w:val="Normal"/>
              <w:widowControl w:val="false"/>
              <w:ind w:right="-468" w:hanging="0"/>
              <w:rPr>
                <w:b/>
                <w:b/>
              </w:rPr>
            </w:pPr>
            <w:r>
              <w:rPr>
                <w:b/>
              </w:rPr>
              <w:t>Tutarları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Her bir yatırımcı tarafından sağlanabilecek asgari ve azami fon miktarı hakkında bilgi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Fon Kullanım Yeri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Sağlanacak fonun kullanım alanları kısa ve özet bir biçimde belirtilecektir.</w:t>
            </w:r>
          </w:p>
        </w:tc>
      </w:tr>
    </w:tbl>
    <w:p>
      <w:pPr>
        <w:pStyle w:val="Normal"/>
        <w:spacing w:before="0" w:after="120"/>
        <w:ind w:firstLine="709"/>
        <w:rPr/>
      </w:pPr>
      <w:r>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GİRİŞİM ŞİRKETİ HAKKINDA BİLGİLER</w:t>
      </w:r>
    </w:p>
    <w:p>
      <w:pPr>
        <w:pStyle w:val="ListParagraph"/>
        <w:numPr>
          <w:ilvl w:val="0"/>
          <w:numId w:val="2"/>
        </w:numPr>
        <w:spacing w:before="0" w:after="120"/>
        <w:ind w:left="709" w:hanging="709"/>
        <w:outlineLvl w:val="1"/>
        <w:rPr>
          <w:rFonts w:ascii="Times New Roman" w:hAnsi="Times New Roman"/>
          <w:b/>
          <w:b/>
          <w:szCs w:val="24"/>
          <w:lang w:val="tr-TR"/>
        </w:rPr>
      </w:pPr>
      <w:r>
        <w:rPr>
          <w:rFonts w:ascii="Times New Roman" w:hAnsi="Times New Roman"/>
          <w:b/>
          <w:szCs w:val="24"/>
          <w:lang w:val="tr-TR"/>
        </w:rPr>
        <w:t>Genel Bilgiler</w:t>
      </w:r>
    </w:p>
    <w:tbl>
      <w:tblPr>
        <w:tblW w:w="90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87"/>
        <w:gridCol w:w="284"/>
        <w:gridCol w:w="5400"/>
      </w:tblGrid>
      <w:tr>
        <w:trPr>
          <w:trHeight w:val="397" w:hRule="atLeast"/>
        </w:trPr>
        <w:tc>
          <w:tcPr>
            <w:tcW w:w="9071" w:type="dxa"/>
            <w:gridSpan w:val="3"/>
            <w:tcBorders>
              <w:bottom w:val="single" w:sz="4" w:space="0" w:color="000000"/>
            </w:tcBorders>
            <w:shd w:color="auto" w:fill="auto" w:val="clear"/>
            <w:vAlign w:val="center"/>
          </w:tcPr>
          <w:p>
            <w:pPr>
              <w:pStyle w:val="Normal"/>
              <w:widowControl w:val="false"/>
              <w:ind w:right="47" w:hanging="0"/>
              <w:rPr>
                <w:b/>
                <w:b/>
              </w:rPr>
            </w:pPr>
            <w:r>
              <w:rPr>
                <w:b/>
              </w:rPr>
              <w:t>Girişim Şirketi Hakkında Genel Bilgiler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Ticaret Unvanı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Tam ticaret unvanı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İşletme Adı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Varsa İşletme adı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Hukuki Statüsü</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t>Anonim şirket</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Merkez Adresi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Tescil edilmiş adresine yer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Kuruluş Tarihi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Kuruluş esas sözleşmesinin tescil tarihi belirtilecektir. İşbu bilgi formunun ilan edildiği tarih itibarıyla son beş yıl içinde kurulmuş olması koşulunun sağlanıp sağlanmadığı belirtilir. Süresiz kurulmamışsa öngörülen süre belirtilir.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Sermayesi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Tescil edilmiş sermayesi ve farklı olması durumunda ödenmiş sermayesi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Ticaret Sicil Müdürlüğü</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Bağlı bulunduğu ticaret sicil müdürlüğü bilgisi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Ticaret Sicil Numarası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Kayıtlı ticaret sicil numarası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Vergi Dairesi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Bağlı bulunduğu vergi dairesi bilgisi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Vergi Kimlik Numarası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Vergi kimlik numarası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Telefon Numarası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Aktif olarak kullanılan telefon numarası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İnternet Sitesi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Düzenli olarak kullanılan tescil edilmiş internet sitesi belirtilecektir.</w:t>
            </w:r>
          </w:p>
        </w:tc>
      </w:tr>
    </w:tbl>
    <w:p>
      <w:pPr>
        <w:pStyle w:val="Normal"/>
        <w:spacing w:before="0" w:after="120"/>
        <w:ind w:firstLine="709"/>
        <w:rPr/>
      </w:pPr>
      <w:r>
        <w:rPr/>
      </w:r>
    </w:p>
    <w:p>
      <w:pPr>
        <w:pStyle w:val="ListParagraph"/>
        <w:numPr>
          <w:ilvl w:val="0"/>
          <w:numId w:val="2"/>
        </w:numPr>
        <w:spacing w:before="0" w:after="120"/>
        <w:ind w:left="709" w:hanging="709"/>
        <w:outlineLvl w:val="1"/>
        <w:rPr>
          <w:shd w:fill="81D41A" w:val="clear"/>
        </w:rPr>
      </w:pPr>
      <w:r>
        <w:rPr>
          <w:rFonts w:ascii="Times New Roman" w:hAnsi="Times New Roman"/>
          <w:b/>
          <w:szCs w:val="24"/>
          <w:shd w:fill="81D41A" w:val="clear"/>
          <w:lang w:val="tr-TR"/>
        </w:rPr>
        <w:t>Faaliyet Konusu ve İş Modeli</w:t>
      </w:r>
    </w:p>
    <w:p>
      <w:pPr>
        <w:pStyle w:val="Normal"/>
        <w:spacing w:before="0" w:after="120"/>
        <w:ind w:firstLine="709"/>
        <w:rPr>
          <w:shd w:fill="81D41A" w:val="clear"/>
        </w:rPr>
      </w:pPr>
      <w:r>
        <w:rPr>
          <w:shd w:fill="81D41A" w:val="clear"/>
        </w:rPr>
        <w:t>Girişim şirketinin esas sözleşmesindeki amaç ve faaliyetleri belirtilerek, fiilen yürütülmekte olan faaliyetler ile varsa kitle fonlaması kampanyasının başarılı sonuçlanması halinde yürütülecek yeni faaliyetler hakkında detaylı bilgi verilecektir.</w:t>
      </w:r>
    </w:p>
    <w:p>
      <w:pPr>
        <w:pStyle w:val="Normal"/>
        <w:spacing w:before="0" w:after="120"/>
        <w:ind w:firstLine="709"/>
        <w:rPr>
          <w:shd w:fill="81D41A" w:val="clear"/>
        </w:rPr>
      </w:pPr>
      <w:r>
        <w:rPr>
          <w:shd w:fill="81D41A" w:val="clear"/>
        </w:rPr>
        <w:t>Verilecek bilgilerde, şirketin geliştirdiği/geliştireceği teknolojiler, ürettiği/üreteceği ürünler ve/veya sunduğu/sunacağı hizmetlere değinilecek olup, varsa geçmiş dönemde ana ürün/hizmet kategorileri bazında gerçekleşen satış miktarlarına yer verilmesi gerekmektedir.</w:t>
      </w:r>
    </w:p>
    <w:p>
      <w:pPr>
        <w:pStyle w:val="Normal"/>
        <w:spacing w:before="0" w:after="120"/>
        <w:ind w:firstLine="709"/>
        <w:rPr>
          <w:shd w:fill="81D41A" w:val="clear"/>
        </w:rPr>
      </w:pPr>
      <w:r>
        <w:rPr>
          <w:shd w:fill="81D41A" w:val="clear"/>
        </w:rPr>
        <w:t>Ayrıca, girişim şirketinin iş modeli</w:t>
      </w:r>
      <w:r>
        <w:rPr>
          <w:rStyle w:val="DipnotSabitleyicisi"/>
          <w:shd w:fill="81D41A" w:val="clear"/>
        </w:rPr>
        <w:footnoteReference w:id="5"/>
      </w:r>
      <w:r>
        <w:rPr>
          <w:shd w:fill="81D41A" w:val="clear"/>
        </w:rPr>
        <w:t>, organizasyon yapısı, çalışan sayısı, kuruluşundan bu yana gelişiminde önemli rol oynayan gelişmeler, önemli yatırımları ve finansman şekilleri, yönetim organı tarafından geleceğe yönelik önemli yatırımlar hakkında bağlayıcı olarak alınan kararlar ve yapılan sözleşmeler, diğer girişimleri ve kısa tarihçesi hakkında bilgiler ile herhangi bir teşvik sübvansiyon alınıyorsa bunların koşulları ile ilgili bilgilere de bu kısımda yer verilecektir.</w:t>
      </w:r>
    </w:p>
    <w:p>
      <w:pPr>
        <w:pStyle w:val="Normal"/>
        <w:spacing w:before="0" w:after="120"/>
        <w:ind w:firstLine="709"/>
        <w:rPr/>
      </w:pPr>
      <w:r>
        <w:rPr/>
      </w:r>
    </w:p>
    <w:p>
      <w:pPr>
        <w:pStyle w:val="ListParagraph"/>
        <w:numPr>
          <w:ilvl w:val="0"/>
          <w:numId w:val="2"/>
        </w:numPr>
        <w:spacing w:before="0" w:after="120"/>
        <w:ind w:left="709" w:hanging="709"/>
        <w:outlineLvl w:val="1"/>
        <w:rPr>
          <w:shd w:fill="81D41A" w:val="clear"/>
        </w:rPr>
      </w:pPr>
      <w:r>
        <w:rPr>
          <w:rFonts w:ascii="Times New Roman" w:hAnsi="Times New Roman"/>
          <w:b/>
          <w:szCs w:val="24"/>
          <w:shd w:fill="81D41A" w:val="clear"/>
          <w:lang w:val="tr-TR"/>
        </w:rPr>
        <w:t>Sektör ve Pazar Analizi</w:t>
      </w:r>
    </w:p>
    <w:p>
      <w:pPr>
        <w:pStyle w:val="Normal"/>
        <w:spacing w:before="0" w:after="120"/>
        <w:ind w:firstLine="709"/>
        <w:rPr>
          <w:shd w:fill="81D41A" w:val="clear"/>
        </w:rPr>
      </w:pPr>
      <w:r>
        <w:rPr>
          <w:shd w:fill="81D41A" w:val="clear"/>
        </w:rPr>
        <w:t>Girişim şirketinin faaliyet gösterdiği/göstereceği sektör ve pazarlar belirtilerek, sektörü etkileyen önemli en son eğilimler ve sektörün dünyadaki durumu ile şirketin bu sektör ve pazarlardaki rakipleri hakkında bilgi verilecektir. Şirketin rekabet stratejisi detaylandırılarak pazardaki rekabet konumunun değerlendirilebilmesine olanak sağlayan SWOT analizi yapılacaktır.</w:t>
      </w:r>
    </w:p>
    <w:p>
      <w:pPr>
        <w:pStyle w:val="Normal"/>
        <w:spacing w:before="0" w:after="120"/>
        <w:ind w:firstLine="709"/>
        <w:rPr>
          <w:shd w:fill="81D41A" w:val="clear"/>
        </w:rPr>
      </w:pPr>
      <w:r>
        <w:rPr>
          <w:shd w:fill="81D41A" w:val="clear"/>
        </w:rPr>
        <w:t>Ayrıca, ürün ve hizmetlere yönelik pazar araştırması ve analizi ile varsa önceki etüt, araştırma ve diğer çalışmalar hakkında bilgilere yer verilerek, hedef kitlenin tanımı, yapısı, genel özellikleri ile satış ve pazarlama planı hakkında açıklamalarda bulunulacaktır.</w:t>
      </w:r>
    </w:p>
    <w:p>
      <w:pPr>
        <w:pStyle w:val="Normal"/>
        <w:spacing w:before="0" w:after="120"/>
        <w:ind w:firstLine="709"/>
        <w:rPr/>
      </w:pPr>
      <w:r>
        <w:rPr/>
      </w:r>
    </w:p>
    <w:p>
      <w:pPr>
        <w:pStyle w:val="ListParagraph"/>
        <w:numPr>
          <w:ilvl w:val="0"/>
          <w:numId w:val="2"/>
        </w:numPr>
        <w:spacing w:before="0" w:after="120"/>
        <w:ind w:left="709" w:hanging="709"/>
        <w:outlineLvl w:val="1"/>
        <w:rPr>
          <w:rFonts w:ascii="Times New Roman" w:hAnsi="Times New Roman"/>
          <w:b/>
          <w:b/>
          <w:szCs w:val="24"/>
          <w:lang w:val="tr-TR"/>
        </w:rPr>
      </w:pPr>
      <w:r>
        <w:rPr>
          <w:rFonts w:ascii="Times New Roman" w:hAnsi="Times New Roman"/>
          <w:b/>
          <w:szCs w:val="24"/>
          <w:lang w:val="tr-TR"/>
        </w:rPr>
        <w:t>Kurucu Ortaklar, Ana Pay Sahipleri ve Sermayeyi Temsil Eden Paylar</w:t>
      </w:r>
    </w:p>
    <w:p>
      <w:pPr>
        <w:pStyle w:val="ListParagraph"/>
        <w:numPr>
          <w:ilvl w:val="0"/>
          <w:numId w:val="3"/>
        </w:numPr>
        <w:spacing w:before="0" w:after="120"/>
        <w:ind w:left="709" w:hanging="709"/>
        <w:outlineLvl w:val="2"/>
        <w:rPr>
          <w:rFonts w:ascii="Times New Roman" w:hAnsi="Times New Roman"/>
          <w:b/>
          <w:b/>
          <w:szCs w:val="24"/>
          <w:lang w:val="tr-TR"/>
        </w:rPr>
      </w:pPr>
      <w:r>
        <w:rPr>
          <w:rFonts w:ascii="Times New Roman" w:hAnsi="Times New Roman"/>
          <w:b/>
          <w:szCs w:val="24"/>
          <w:lang w:val="tr-TR"/>
        </w:rPr>
        <w:t>Kurucu ortaklar hakkında bilgiler</w:t>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0"/>
        <w:gridCol w:w="1842"/>
        <w:gridCol w:w="2835"/>
        <w:gridCol w:w="1560"/>
        <w:gridCol w:w="865"/>
      </w:tblGrid>
      <w:tr>
        <w:trPr>
          <w:trHeight w:val="397" w:hRule="atLeast"/>
        </w:trPr>
        <w:tc>
          <w:tcPr>
            <w:tcW w:w="9072" w:type="dxa"/>
            <w:gridSpan w:val="5"/>
            <w:tcBorders>
              <w:top w:val="single" w:sz="4" w:space="0" w:color="000000"/>
              <w:left w:val="single" w:sz="4" w:space="0" w:color="000000"/>
              <w:bottom w:val="single" w:sz="8"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Girişim Şirketi’nin Kurucu Ortakları</w:t>
            </w:r>
          </w:p>
        </w:tc>
      </w:tr>
      <w:tr>
        <w:trPr>
          <w:trHeight w:val="340" w:hRule="atLeast"/>
        </w:trPr>
        <w:tc>
          <w:tcPr>
            <w:tcW w:w="1970"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t>Adı-Soyadı /</w:t>
            </w:r>
          </w:p>
          <w:p>
            <w:pPr>
              <w:pStyle w:val="Normal"/>
              <w:widowControl w:val="false"/>
              <w:ind w:right="-468" w:hanging="0"/>
              <w:rPr>
                <w:b/>
                <w:b/>
              </w:rPr>
            </w:pPr>
            <w:r>
              <w:rPr>
                <w:b/>
              </w:rPr>
              <w:t>Ticaret Unvanı</w:t>
            </w:r>
          </w:p>
        </w:tc>
        <w:tc>
          <w:tcPr>
            <w:tcW w:w="1842"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Görevi/Unvanı</w:t>
            </w:r>
          </w:p>
        </w:tc>
        <w:tc>
          <w:tcPr>
            <w:tcW w:w="2835"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Kuruluştan Bu Yana Şirket Bünyesinde Üstlendiği Görevler</w:t>
            </w:r>
          </w:p>
        </w:tc>
        <w:tc>
          <w:tcPr>
            <w:tcW w:w="2425" w:type="dxa"/>
            <w:gridSpan w:val="2"/>
            <w:tcBorders>
              <w:top w:val="single" w:sz="4" w:space="0" w:color="000000"/>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Sermayedeki Payı</w:t>
            </w:r>
          </w:p>
        </w:tc>
      </w:tr>
      <w:tr>
        <w:trPr>
          <w:trHeight w:val="340" w:hRule="atLeast"/>
        </w:trPr>
        <w:tc>
          <w:tcPr>
            <w:tcW w:w="19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r>
          </w:p>
        </w:tc>
        <w:tc>
          <w:tcPr>
            <w:tcW w:w="1842"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34" w:hanging="0"/>
              <w:jc w:val="center"/>
              <w:rPr>
                <w:b/>
                <w:b/>
              </w:rPr>
            </w:pPr>
            <w:r>
              <w:rPr>
                <w:b/>
              </w:rPr>
            </w:r>
          </w:p>
        </w:tc>
        <w:tc>
          <w:tcPr>
            <w:tcW w:w="2835" w:type="dxa"/>
            <w:vMerge w:val="continue"/>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r>
          </w:p>
        </w:tc>
        <w:tc>
          <w:tcPr>
            <w:tcW w:w="1560" w:type="dxa"/>
            <w:tcBorders>
              <w:top w:val="single" w:sz="8" w:space="0" w:color="000000"/>
              <w:left w:val="single" w:sz="8"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t>(TL)</w:t>
            </w:r>
          </w:p>
        </w:tc>
        <w:tc>
          <w:tcPr>
            <w:tcW w:w="865" w:type="dxa"/>
            <w:tcBorders>
              <w:top w:val="single" w:sz="8" w:space="0" w:color="000000"/>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t>(%)</w:t>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2835"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1560"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86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283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56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86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bl>
    <w:p>
      <w:pPr>
        <w:pStyle w:val="Normal"/>
        <w:spacing w:before="0" w:after="120"/>
        <w:ind w:firstLine="709"/>
        <w:rPr/>
      </w:pPr>
      <w:r>
        <w:rPr/>
      </w:r>
    </w:p>
    <w:p>
      <w:pPr>
        <w:pStyle w:val="Normal"/>
        <w:spacing w:before="0" w:after="120"/>
        <w:ind w:firstLine="709"/>
        <w:rPr/>
      </w:pPr>
      <w:r>
        <w:rPr/>
        <w:t>Girişim şirketinin kurucu ortaklarının mevcut pay sahipleri ve/veya yönetim kurulu üyelerinden farklı olması durumunda, tablonun altında kurucu ortaklar hakkında bilgilere yer verilecek olup, varsa bu kişiler arasındaki ilişkinin mahiyeti açıklanacaktır.</w:t>
      </w:r>
    </w:p>
    <w:p>
      <w:pPr>
        <w:pStyle w:val="Normal"/>
        <w:spacing w:before="0" w:after="120"/>
        <w:ind w:firstLine="709"/>
        <w:rPr/>
      </w:pPr>
      <w:r>
        <w:rPr/>
      </w:r>
    </w:p>
    <w:p>
      <w:pPr>
        <w:pStyle w:val="ListParagraph"/>
        <w:numPr>
          <w:ilvl w:val="0"/>
          <w:numId w:val="3"/>
        </w:numPr>
        <w:spacing w:before="0" w:after="120"/>
        <w:ind w:left="709" w:hanging="709"/>
        <w:outlineLvl w:val="2"/>
        <w:rPr>
          <w:rFonts w:ascii="Times New Roman" w:hAnsi="Times New Roman"/>
          <w:b/>
          <w:b/>
          <w:szCs w:val="24"/>
          <w:lang w:val="tr-TR"/>
        </w:rPr>
      </w:pPr>
      <w:r>
        <w:rPr>
          <w:rFonts w:ascii="Times New Roman" w:hAnsi="Times New Roman"/>
          <w:b/>
          <w:szCs w:val="24"/>
          <w:lang w:val="tr-TR"/>
        </w:rPr>
        <w:t>Ortaklık yapısı hakkında bilgiler</w:t>
      </w:r>
    </w:p>
    <w:tbl>
      <w:tblPr>
        <w:tblW w:w="921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822"/>
        <w:gridCol w:w="992"/>
        <w:gridCol w:w="1418"/>
        <w:gridCol w:w="1276"/>
        <w:gridCol w:w="1710"/>
      </w:tblGrid>
      <w:tr>
        <w:trPr>
          <w:trHeight w:val="397" w:hRule="atLeast"/>
        </w:trPr>
        <w:tc>
          <w:tcPr>
            <w:tcW w:w="9218" w:type="dxa"/>
            <w:gridSpan w:val="5"/>
            <w:tcBorders>
              <w:top w:val="single" w:sz="4" w:space="0" w:color="000000"/>
              <w:left w:val="single" w:sz="4" w:space="0" w:color="000000"/>
              <w:bottom w:val="single" w:sz="8" w:space="0" w:color="000000"/>
              <w:right w:val="single" w:sz="4" w:space="0" w:color="000000"/>
            </w:tcBorders>
            <w:shd w:color="auto" w:fill="D6DCE4" w:val="clear"/>
            <w:vAlign w:val="center"/>
          </w:tcPr>
          <w:p>
            <w:pPr>
              <w:pStyle w:val="Normal"/>
              <w:widowControl w:val="false"/>
              <w:ind w:right="47" w:hanging="0"/>
              <w:rPr>
                <w:b/>
                <w:b/>
                <w:color w:val="222A35" w:themeColor="text2" w:themeShade="80"/>
              </w:rPr>
            </w:pPr>
            <w:r>
              <w:rPr>
                <w:b/>
                <w:color w:val="222A35" w:themeColor="text2" w:themeShade="80"/>
              </w:rPr>
              <w:t>Girişim Şirketi’nin Ortaklık Yapısı</w:t>
            </w:r>
          </w:p>
        </w:tc>
      </w:tr>
      <w:tr>
        <w:trPr>
          <w:trHeight w:val="340" w:hRule="atLeast"/>
        </w:trPr>
        <w:tc>
          <w:tcPr>
            <w:tcW w:w="3822"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t>Adı-Soyadı / Ticaret Unvanı</w:t>
            </w:r>
          </w:p>
        </w:tc>
        <w:tc>
          <w:tcPr>
            <w:tcW w:w="3686" w:type="dxa"/>
            <w:gridSpan w:val="3"/>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Sermayedeki Payı</w:t>
            </w:r>
          </w:p>
        </w:tc>
        <w:tc>
          <w:tcPr>
            <w:tcW w:w="1710" w:type="dxa"/>
            <w:vMerge w:val="restart"/>
            <w:tcBorders>
              <w:top w:val="single" w:sz="4" w:space="0" w:color="000000"/>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Oy Hakkı (%)</w:t>
            </w:r>
          </w:p>
        </w:tc>
      </w:tr>
      <w:tr>
        <w:trPr>
          <w:trHeight w:val="340" w:hRule="atLeast"/>
        </w:trPr>
        <w:tc>
          <w:tcPr>
            <w:tcW w:w="382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r>
          </w:p>
        </w:tc>
        <w:tc>
          <w:tcPr>
            <w:tcW w:w="9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34" w:hanging="0"/>
              <w:jc w:val="center"/>
              <w:rPr>
                <w:b/>
                <w:b/>
              </w:rPr>
            </w:pPr>
            <w:r>
              <w:rPr>
                <w:b/>
              </w:rPr>
              <w:t>Grubu</w:t>
            </w:r>
          </w:p>
        </w:tc>
        <w:tc>
          <w:tcPr>
            <w:tcW w:w="141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Tutar (TL)</w:t>
            </w:r>
          </w:p>
        </w:tc>
        <w:tc>
          <w:tcPr>
            <w:tcW w:w="1276" w:type="dxa"/>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Oran (%)</w:t>
            </w:r>
          </w:p>
        </w:tc>
        <w:tc>
          <w:tcPr>
            <w:tcW w:w="1710" w:type="dxa"/>
            <w:vMerge w:val="continue"/>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b/>
                <w:b/>
              </w:rPr>
            </w:pPr>
            <w:r>
              <w:rPr>
                <w:b/>
              </w:rPr>
            </w:r>
          </w:p>
        </w:tc>
      </w:tr>
      <w:tr>
        <w:trPr>
          <w:trHeight w:val="340" w:hRule="atLeast"/>
        </w:trPr>
        <w:tc>
          <w:tcPr>
            <w:tcW w:w="3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jc w:val="lef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c>
          <w:tcPr>
            <w:tcW w:w="1276"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1710"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r>
      <w:tr>
        <w:trPr>
          <w:trHeight w:val="340" w:hRule="atLeast"/>
        </w:trPr>
        <w:tc>
          <w:tcPr>
            <w:tcW w:w="3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jc w:val="lef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276"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1710"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r>
        <w:trPr>
          <w:trHeight w:val="397" w:hRule="atLeast"/>
        </w:trPr>
        <w:tc>
          <w:tcPr>
            <w:tcW w:w="3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t>TOPLAM</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jc w:val="left"/>
              <w:rPr>
                <w:b/>
                <w:b/>
              </w:rPr>
            </w:pPr>
            <w:r>
              <w:rPr>
                <w:b/>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276"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1710"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bl>
    <w:p>
      <w:pPr>
        <w:pStyle w:val="Normal"/>
        <w:spacing w:before="0" w:after="120"/>
        <w:ind w:firstLine="709"/>
        <w:rPr/>
      </w:pPr>
      <w:r>
        <w:rPr/>
      </w:r>
    </w:p>
    <w:p>
      <w:pPr>
        <w:pStyle w:val="Normal"/>
        <w:spacing w:before="0" w:after="120"/>
        <w:ind w:firstLine="709"/>
        <w:rPr/>
      </w:pPr>
      <w:r>
        <w:rPr/>
        <w:t>Mevcut durumda, girişim şirketinin sermayesinde %5 ve üzeri pay sahipliği bulunan gerçek ve tüzel kişiler hakkında açıklamalara yer verilecek olup, varsa bu kişiler arasındaki ilişkinin mahiyeti de belirtilecektir.</w:t>
      </w:r>
    </w:p>
    <w:p>
      <w:pPr>
        <w:pStyle w:val="Normal"/>
        <w:spacing w:before="0" w:after="120"/>
        <w:ind w:firstLine="709"/>
        <w:rPr/>
      </w:pPr>
      <w:r>
        <w:rPr/>
        <w:t>Öte yandan, ana pay sahiplerinin halihazırda girişim şirketi dışında yürüttükleri iş ve görevler hakkında bilgilere de yer verilecektir.</w:t>
      </w:r>
    </w:p>
    <w:p>
      <w:pPr>
        <w:pStyle w:val="Normal"/>
        <w:spacing w:before="0" w:after="120"/>
        <w:ind w:firstLine="709"/>
        <w:rPr/>
      </w:pPr>
      <w:r>
        <w:rPr/>
      </w:r>
    </w:p>
    <w:p>
      <w:pPr>
        <w:pStyle w:val="ListParagraph"/>
        <w:numPr>
          <w:ilvl w:val="0"/>
          <w:numId w:val="3"/>
        </w:numPr>
        <w:spacing w:before="0" w:after="120"/>
        <w:ind w:left="709" w:hanging="709"/>
        <w:outlineLvl w:val="2"/>
        <w:rPr>
          <w:rFonts w:ascii="Times New Roman" w:hAnsi="Times New Roman"/>
          <w:b/>
          <w:b/>
          <w:szCs w:val="24"/>
          <w:lang w:val="tr-TR"/>
        </w:rPr>
      </w:pPr>
      <w:r>
        <w:rPr>
          <w:rFonts w:ascii="Times New Roman" w:hAnsi="Times New Roman"/>
          <w:b/>
          <w:szCs w:val="24"/>
          <w:lang w:val="tr-TR"/>
        </w:rPr>
        <w:t>Sermayeyi temsil eden paylar hakkında bilgiler</w:t>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28"/>
        <w:gridCol w:w="1276"/>
        <w:gridCol w:w="1844"/>
        <w:gridCol w:w="1701"/>
        <w:gridCol w:w="1701"/>
        <w:gridCol w:w="1421"/>
      </w:tblGrid>
      <w:tr>
        <w:trPr>
          <w:trHeight w:val="397" w:hRule="atLeast"/>
        </w:trPr>
        <w:tc>
          <w:tcPr>
            <w:tcW w:w="9071" w:type="dxa"/>
            <w:gridSpan w:val="6"/>
            <w:tcBorders>
              <w:top w:val="single" w:sz="4" w:space="0" w:color="000000"/>
              <w:left w:val="single" w:sz="4" w:space="0" w:color="000000"/>
              <w:bottom w:val="single" w:sz="8"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Girişim Şirketi’nin Sermayesini Temsil Eden Paylar</w:t>
            </w:r>
          </w:p>
        </w:tc>
      </w:tr>
      <w:tr>
        <w:trPr>
          <w:trHeight w:val="340" w:hRule="atLeast"/>
        </w:trPr>
        <w:tc>
          <w:tcPr>
            <w:tcW w:w="1128"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t>Grubu</w:t>
            </w:r>
          </w:p>
        </w:tc>
        <w:tc>
          <w:tcPr>
            <w:tcW w:w="1276"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Türü</w:t>
            </w:r>
          </w:p>
        </w:tc>
        <w:tc>
          <w:tcPr>
            <w:tcW w:w="1844"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İmtiyazlar</w:t>
            </w:r>
          </w:p>
        </w:tc>
        <w:tc>
          <w:tcPr>
            <w:tcW w:w="3402" w:type="dxa"/>
            <w:gridSpan w:val="2"/>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Nominal Değeri (TL)</w:t>
            </w:r>
          </w:p>
        </w:tc>
        <w:tc>
          <w:tcPr>
            <w:tcW w:w="1421"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t>Sermayeye Oranı (%)</w:t>
            </w:r>
          </w:p>
        </w:tc>
      </w:tr>
      <w:tr>
        <w:trPr>
          <w:trHeight w:val="340" w:hRule="atLeast"/>
        </w:trPr>
        <w:tc>
          <w:tcPr>
            <w:tcW w:w="1128"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r>
          </w:p>
        </w:tc>
        <w:tc>
          <w:tcPr>
            <w:tcW w:w="1276" w:type="dxa"/>
            <w:vMerge w:val="continue"/>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r>
          </w:p>
        </w:tc>
        <w:tc>
          <w:tcPr>
            <w:tcW w:w="1844" w:type="dxa"/>
            <w:vMerge w:val="continue"/>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r>
          </w:p>
        </w:tc>
        <w:tc>
          <w:tcPr>
            <w:tcW w:w="1701" w:type="dxa"/>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Birim</w:t>
            </w:r>
          </w:p>
        </w:tc>
        <w:tc>
          <w:tcPr>
            <w:tcW w:w="1701"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Toplam</w:t>
            </w:r>
          </w:p>
        </w:tc>
        <w:tc>
          <w:tcPr>
            <w:tcW w:w="1421"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r>
          </w:p>
        </w:tc>
      </w:tr>
      <w:tr>
        <w:trPr>
          <w:trHeight w:val="340" w:hRule="atLeast"/>
        </w:trPr>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276"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1844"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142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r>
      <w:tr>
        <w:trPr>
          <w:trHeight w:val="340" w:hRule="atLeast"/>
        </w:trPr>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276"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1844"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701"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142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bl>
    <w:p>
      <w:pPr>
        <w:pStyle w:val="Normal"/>
        <w:spacing w:before="0" w:after="120"/>
        <w:ind w:firstLine="709"/>
        <w:rPr/>
      </w:pPr>
      <w:r>
        <w:rPr/>
      </w:r>
    </w:p>
    <w:p>
      <w:pPr>
        <w:pStyle w:val="Normal"/>
        <w:spacing w:before="0" w:after="120"/>
        <w:ind w:firstLine="709"/>
        <w:rPr/>
      </w:pPr>
      <w:r>
        <w:rPr/>
        <w:t>Esas sözleşmenin ilgili maddelerine atıfla sermayeyi temsil eden payların toplam adedi, birim payın nominal değeri, toplam sermaye tutarı, varsa bu payların hangi gruplardan oluştuğu, her bir pay grubu bazında kaç adet payın bulunduğu, pay gruplarına tanınan imtiyazlar ve pay devrini kısıtlayıcı hükümler hakkında bilgilere yer verilecektir.</w:t>
      </w:r>
    </w:p>
    <w:p>
      <w:pPr>
        <w:pStyle w:val="Normal"/>
        <w:spacing w:before="0" w:after="120"/>
        <w:ind w:firstLine="709"/>
        <w:rPr/>
      </w:pPr>
      <w:r>
        <w:rPr/>
      </w:r>
    </w:p>
    <w:p>
      <w:pPr>
        <w:pStyle w:val="ListParagraph"/>
        <w:numPr>
          <w:ilvl w:val="0"/>
          <w:numId w:val="2"/>
        </w:numPr>
        <w:spacing w:before="0" w:after="120"/>
        <w:ind w:left="709" w:hanging="709"/>
        <w:outlineLvl w:val="1"/>
        <w:rPr>
          <w:rFonts w:ascii="Times New Roman" w:hAnsi="Times New Roman"/>
          <w:b/>
          <w:b/>
          <w:szCs w:val="24"/>
          <w:lang w:val="tr-TR"/>
        </w:rPr>
      </w:pPr>
      <w:r>
        <w:rPr>
          <w:rFonts w:ascii="Times New Roman" w:hAnsi="Times New Roman"/>
          <w:b/>
          <w:szCs w:val="24"/>
          <w:lang w:val="tr-TR"/>
        </w:rPr>
        <w:t>Yönetim Kurulu ve Yöneticiler</w:t>
      </w:r>
    </w:p>
    <w:p>
      <w:pPr>
        <w:pStyle w:val="ListParagraph"/>
        <w:numPr>
          <w:ilvl w:val="0"/>
          <w:numId w:val="4"/>
        </w:numPr>
        <w:spacing w:before="0" w:after="120"/>
        <w:ind w:left="709" w:hanging="709"/>
        <w:outlineLvl w:val="2"/>
        <w:rPr>
          <w:rFonts w:ascii="Times New Roman" w:hAnsi="Times New Roman"/>
          <w:b/>
          <w:b/>
          <w:szCs w:val="24"/>
          <w:lang w:val="tr-TR"/>
        </w:rPr>
      </w:pPr>
      <w:r>
        <w:rPr>
          <w:rFonts w:ascii="Times New Roman" w:hAnsi="Times New Roman"/>
          <w:b/>
          <w:szCs w:val="24"/>
          <w:lang w:val="tr-TR"/>
        </w:rPr>
        <w:t>Yönetim kurulu üyeleri hakkında bilgiler</w:t>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0"/>
        <w:gridCol w:w="1842"/>
        <w:gridCol w:w="1215"/>
        <w:gridCol w:w="1620"/>
        <w:gridCol w:w="1560"/>
        <w:gridCol w:w="864"/>
      </w:tblGrid>
      <w:tr>
        <w:trPr>
          <w:trHeight w:val="397" w:hRule="atLeast"/>
        </w:trPr>
        <w:tc>
          <w:tcPr>
            <w:tcW w:w="9071" w:type="dxa"/>
            <w:gridSpan w:val="6"/>
            <w:tcBorders>
              <w:top w:val="single" w:sz="4" w:space="0" w:color="000000"/>
              <w:left w:val="single" w:sz="4" w:space="0" w:color="000000"/>
              <w:bottom w:val="single" w:sz="8"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Girişim Şirketi’nin Yönetim Kurulu Üyeleri</w:t>
            </w:r>
          </w:p>
        </w:tc>
      </w:tr>
      <w:tr>
        <w:trPr>
          <w:trHeight w:val="340" w:hRule="atLeast"/>
        </w:trPr>
        <w:tc>
          <w:tcPr>
            <w:tcW w:w="1970"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t>Adı-Soyadı /</w:t>
            </w:r>
          </w:p>
          <w:p>
            <w:pPr>
              <w:pStyle w:val="Normal"/>
              <w:widowControl w:val="false"/>
              <w:ind w:right="-468" w:hanging="0"/>
              <w:rPr>
                <w:b/>
                <w:b/>
              </w:rPr>
            </w:pPr>
            <w:r>
              <w:rPr>
                <w:b/>
              </w:rPr>
              <w:t>Ticaret Unvanı</w:t>
            </w:r>
          </w:p>
        </w:tc>
        <w:tc>
          <w:tcPr>
            <w:tcW w:w="1842"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Görevi/Unvanı</w:t>
            </w:r>
          </w:p>
        </w:tc>
        <w:tc>
          <w:tcPr>
            <w:tcW w:w="1215"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Atanma Tarihi</w:t>
            </w:r>
          </w:p>
        </w:tc>
        <w:tc>
          <w:tcPr>
            <w:tcW w:w="1620"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Kalan Görev Süresi</w:t>
            </w:r>
          </w:p>
        </w:tc>
        <w:tc>
          <w:tcPr>
            <w:tcW w:w="2424" w:type="dxa"/>
            <w:gridSpan w:val="2"/>
            <w:tcBorders>
              <w:top w:val="single" w:sz="4" w:space="0" w:color="000000"/>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Sermayedeki Payı</w:t>
            </w:r>
          </w:p>
        </w:tc>
      </w:tr>
      <w:tr>
        <w:trPr>
          <w:trHeight w:val="340" w:hRule="atLeast"/>
        </w:trPr>
        <w:tc>
          <w:tcPr>
            <w:tcW w:w="19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r>
          </w:p>
        </w:tc>
        <w:tc>
          <w:tcPr>
            <w:tcW w:w="1842"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34" w:hanging="0"/>
              <w:jc w:val="center"/>
              <w:rPr>
                <w:b/>
                <w:b/>
              </w:rPr>
            </w:pPr>
            <w:r>
              <w:rPr>
                <w:b/>
              </w:rPr>
            </w:r>
          </w:p>
        </w:tc>
        <w:tc>
          <w:tcPr>
            <w:tcW w:w="1215"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r>
          </w:p>
        </w:tc>
        <w:tc>
          <w:tcPr>
            <w:tcW w:w="1620" w:type="dxa"/>
            <w:vMerge w:val="continue"/>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r>
          </w:p>
        </w:tc>
        <w:tc>
          <w:tcPr>
            <w:tcW w:w="1560" w:type="dxa"/>
            <w:tcBorders>
              <w:top w:val="single" w:sz="8" w:space="0" w:color="000000"/>
              <w:left w:val="single" w:sz="8"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t>(TL)</w:t>
            </w:r>
          </w:p>
        </w:tc>
        <w:tc>
          <w:tcPr>
            <w:tcW w:w="864" w:type="dxa"/>
            <w:tcBorders>
              <w:top w:val="single" w:sz="8" w:space="0" w:color="000000"/>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t>(%)</w:t>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121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c>
          <w:tcPr>
            <w:tcW w:w="1620"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1560"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864"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121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620"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56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864"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bl>
    <w:p>
      <w:pPr>
        <w:pStyle w:val="Normal"/>
        <w:spacing w:before="0" w:after="120"/>
        <w:ind w:firstLine="709"/>
        <w:rPr>
          <w:b/>
          <w:b/>
        </w:rPr>
      </w:pPr>
      <w:r>
        <w:rPr>
          <w:b/>
        </w:rPr>
      </w:r>
    </w:p>
    <w:p>
      <w:pPr>
        <w:pStyle w:val="Normal"/>
        <w:spacing w:before="0" w:after="120"/>
        <w:ind w:firstLine="709"/>
        <w:rPr/>
      </w:pPr>
      <w:r>
        <w:rPr/>
        <w:t>Yönetim kurulu üyeleri arasında bir tüzel kişinin bulunması durumunda, 6102 sayılı Türk Ticaret Kanunu uyarınca tüzel kişi adına tescil edilen gerçek kişi hakkında bilgiye de tablonun altında yer verilecektir.</w:t>
      </w:r>
    </w:p>
    <w:p>
      <w:pPr>
        <w:pStyle w:val="Normal"/>
        <w:spacing w:before="0" w:after="120"/>
        <w:ind w:firstLine="709"/>
        <w:rPr/>
      </w:pPr>
      <w:r>
        <w:rPr/>
        <w:t>Üyelerin daha önceki dönemlerde sahip oldukları yönetim deneyimleri ve uzmanlık alanları hakkında ayrıntılı bilgilere yer verilecek olup, halihazırda girişim şirketi dışında yürüttükleri iş ve görevler hakkında bilgiler de bu kısımda yer alacaktır.</w:t>
      </w:r>
    </w:p>
    <w:p>
      <w:pPr>
        <w:pStyle w:val="Normal"/>
        <w:spacing w:before="0" w:after="120"/>
        <w:ind w:firstLine="709"/>
        <w:rPr>
          <w:b/>
          <w:b/>
        </w:rPr>
      </w:pPr>
      <w:r>
        <w:rPr>
          <w:b/>
        </w:rPr>
      </w:r>
    </w:p>
    <w:p>
      <w:pPr>
        <w:pStyle w:val="ListParagraph"/>
        <w:numPr>
          <w:ilvl w:val="0"/>
          <w:numId w:val="4"/>
        </w:numPr>
        <w:spacing w:before="0" w:after="120"/>
        <w:ind w:left="709" w:hanging="709"/>
        <w:outlineLvl w:val="2"/>
        <w:rPr>
          <w:rFonts w:ascii="Times New Roman" w:hAnsi="Times New Roman"/>
          <w:b/>
          <w:b/>
          <w:szCs w:val="24"/>
          <w:lang w:val="tr-TR"/>
        </w:rPr>
      </w:pPr>
      <w:r>
        <w:rPr>
          <w:rFonts w:ascii="Times New Roman" w:hAnsi="Times New Roman"/>
          <w:b/>
          <w:szCs w:val="24"/>
          <w:lang w:val="tr-TR"/>
        </w:rPr>
        <w:t>Yöneticiler hakkında bilgiler</w:t>
      </w:r>
    </w:p>
    <w:p>
      <w:pPr>
        <w:pStyle w:val="Normal"/>
        <w:spacing w:before="0" w:after="120"/>
        <w:ind w:firstLine="709"/>
        <w:rPr/>
      </w:pPr>
      <w:r>
        <w:rPr/>
        <w:t>Girişim şirketinin yönetim veya denetim organlarının üyesi olmadığı halde, şirkette önemli görev ve sorumluluklar üstlenen yönetici pozisyonunda istihdam edilen ve/veya ihraççının gelecekteki gelişimini ve ticari hedeflerini etkileyen idari kararlar verme yetkisi olan kişiler hakkında bilgi verilecektir.</w:t>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0"/>
        <w:gridCol w:w="1842"/>
        <w:gridCol w:w="2835"/>
        <w:gridCol w:w="1560"/>
        <w:gridCol w:w="865"/>
      </w:tblGrid>
      <w:tr>
        <w:trPr>
          <w:trHeight w:val="397" w:hRule="atLeast"/>
        </w:trPr>
        <w:tc>
          <w:tcPr>
            <w:tcW w:w="9072" w:type="dxa"/>
            <w:gridSpan w:val="5"/>
            <w:tcBorders>
              <w:top w:val="single" w:sz="4" w:space="0" w:color="000000"/>
              <w:left w:val="single" w:sz="4" w:space="0" w:color="000000"/>
              <w:bottom w:val="single" w:sz="8"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Girişim Şirketi’nin Yöneticileri</w:t>
            </w:r>
          </w:p>
        </w:tc>
      </w:tr>
      <w:tr>
        <w:trPr>
          <w:trHeight w:val="340" w:hRule="atLeast"/>
        </w:trPr>
        <w:tc>
          <w:tcPr>
            <w:tcW w:w="1970"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t>Adı-Soyadı</w:t>
            </w:r>
          </w:p>
        </w:tc>
        <w:tc>
          <w:tcPr>
            <w:tcW w:w="1842"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Görevi/Unvanı</w:t>
            </w:r>
          </w:p>
        </w:tc>
        <w:tc>
          <w:tcPr>
            <w:tcW w:w="2835"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Uzmanlık Alanı ve Profesyonel Tecrübesi</w:t>
            </w:r>
          </w:p>
        </w:tc>
        <w:tc>
          <w:tcPr>
            <w:tcW w:w="2425" w:type="dxa"/>
            <w:gridSpan w:val="2"/>
            <w:tcBorders>
              <w:top w:val="single" w:sz="4" w:space="0" w:color="000000"/>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Sermayedeki Payı</w:t>
            </w:r>
          </w:p>
        </w:tc>
      </w:tr>
      <w:tr>
        <w:trPr>
          <w:trHeight w:val="340" w:hRule="atLeast"/>
        </w:trPr>
        <w:tc>
          <w:tcPr>
            <w:tcW w:w="19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r>
          </w:p>
        </w:tc>
        <w:tc>
          <w:tcPr>
            <w:tcW w:w="1842"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34" w:hanging="0"/>
              <w:jc w:val="center"/>
              <w:rPr>
                <w:b/>
                <w:b/>
              </w:rPr>
            </w:pPr>
            <w:r>
              <w:rPr>
                <w:b/>
              </w:rPr>
            </w:r>
          </w:p>
        </w:tc>
        <w:tc>
          <w:tcPr>
            <w:tcW w:w="2835" w:type="dxa"/>
            <w:vMerge w:val="continue"/>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r>
          </w:p>
        </w:tc>
        <w:tc>
          <w:tcPr>
            <w:tcW w:w="1560" w:type="dxa"/>
            <w:tcBorders>
              <w:top w:val="single" w:sz="8" w:space="0" w:color="000000"/>
              <w:left w:val="single" w:sz="8"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t>(TL)</w:t>
            </w:r>
          </w:p>
        </w:tc>
        <w:tc>
          <w:tcPr>
            <w:tcW w:w="865" w:type="dxa"/>
            <w:tcBorders>
              <w:top w:val="single" w:sz="8" w:space="0" w:color="000000"/>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t>(%)</w:t>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2835"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1560"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86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283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56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86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bl>
    <w:p>
      <w:pPr>
        <w:pStyle w:val="Normal"/>
        <w:spacing w:before="0" w:after="120"/>
        <w:ind w:firstLine="709"/>
        <w:rPr>
          <w:b/>
          <w:b/>
        </w:rPr>
      </w:pPr>
      <w:r>
        <w:rPr>
          <w:b/>
        </w:rPr>
      </w:r>
    </w:p>
    <w:p>
      <w:pPr>
        <w:pStyle w:val="Normal"/>
        <w:spacing w:before="0" w:after="120"/>
        <w:ind w:firstLine="709"/>
        <w:rPr/>
      </w:pPr>
      <w:r>
        <w:rPr/>
        <w:t>Yöneticilerin daha önceki dönemlerde sahip oldukları yönetim deneyimleri ve uzmanlık alanları hakkında ayrıntılı bilgilere yer verilecek olup, halihazırda girişim şirketi dışında yürüttükleri iş ve görevler hakkında bilgiler de bu kısımda yer alacaktır.</w:t>
      </w:r>
    </w:p>
    <w:p>
      <w:pPr>
        <w:pStyle w:val="Normal"/>
        <w:spacing w:before="0" w:after="120"/>
        <w:ind w:firstLine="709"/>
        <w:rPr>
          <w:b/>
          <w:b/>
        </w:rPr>
      </w:pPr>
      <w:r>
        <w:rPr>
          <w:b/>
        </w:rPr>
      </w:r>
    </w:p>
    <w:p>
      <w:pPr>
        <w:pStyle w:val="ListParagraph"/>
        <w:numPr>
          <w:ilvl w:val="0"/>
          <w:numId w:val="2"/>
        </w:numPr>
        <w:spacing w:before="0" w:after="120"/>
        <w:ind w:left="709" w:hanging="709"/>
        <w:outlineLvl w:val="1"/>
        <w:rPr>
          <w:rFonts w:ascii="Times New Roman" w:hAnsi="Times New Roman"/>
          <w:b/>
          <w:b/>
          <w:szCs w:val="24"/>
          <w:lang w:val="tr-TR"/>
        </w:rPr>
      </w:pPr>
      <w:r>
        <w:rPr>
          <w:rFonts w:ascii="Times New Roman" w:hAnsi="Times New Roman"/>
          <w:b/>
          <w:szCs w:val="24"/>
          <w:lang w:val="tr-TR"/>
        </w:rPr>
        <w:t>Finansal Bilgiler</w:t>
      </w:r>
    </w:p>
    <w:p>
      <w:pPr>
        <w:pStyle w:val="ListParagraph"/>
        <w:numPr>
          <w:ilvl w:val="0"/>
          <w:numId w:val="13"/>
        </w:numPr>
        <w:spacing w:before="0" w:after="120"/>
        <w:ind w:left="709" w:hanging="709"/>
        <w:contextualSpacing/>
        <w:outlineLvl w:val="2"/>
        <w:rPr>
          <w:rFonts w:ascii="Times New Roman" w:hAnsi="Times New Roman"/>
          <w:b/>
          <w:b/>
          <w:szCs w:val="24"/>
          <w:lang w:val="tr-TR"/>
        </w:rPr>
      </w:pPr>
      <w:r>
        <w:rPr>
          <w:rFonts w:ascii="Times New Roman" w:hAnsi="Times New Roman"/>
          <w:b/>
          <w:szCs w:val="24"/>
          <w:lang w:val="tr-TR"/>
        </w:rPr>
        <w:t>Finansal durum ve faaliyet sonuçları hakkında bilgiler</w:t>
      </w:r>
    </w:p>
    <w:p>
      <w:pPr>
        <w:pStyle w:val="Normal"/>
        <w:spacing w:before="0" w:after="120"/>
        <w:ind w:firstLine="709"/>
        <w:rPr/>
      </w:pPr>
      <w:r>
        <w:rPr/>
        <w:t>Bu bölümde, girişim şirketinin varsa Türkiye Muhasebe-Finansal Raporlama Standartları (TMS/TFRS) çerçevesinde hazırlanan son iki yıllık hesap dönemlerine ait finansal bilgilere yer verilecek, ancak bunlarla ilgili herhangi bir yorumda bulunulmayacaktır. Söz konusu tabloların mevcut olmaması durumunda, bu kısımda verilecek finansal bilgilerde Vergi Usul Kanunu (VUK)’na göre tutulan muhasebe kayıtları esas alınacaktır. Yararlanılan finansal bilgilerin kaynağının açıkça belirtilmesi şarttır.</w:t>
      </w:r>
    </w:p>
    <w:p>
      <w:pPr>
        <w:pStyle w:val="Normal"/>
        <w:spacing w:before="0" w:after="120"/>
        <w:ind w:firstLine="709"/>
        <w:rPr/>
      </w:pPr>
      <w:r>
        <w:rPr/>
        <w:t>İçerik itibarıyla aşağıdaki tablonun kullanılması esas olmakla birlikte, tabloda yer verilecek finansal bilgilerin seçiminde, girişim şirketinin faaliyetleri açısından önem arz eden ve/veya finansal durum tablosu (bilanço) için aktif toplamının; gelir tablosu içinse hasılatın %10’unun üzerinde bakiyesi bulunan hesap kalemlerinin önceliklendirilmesi gerekmektedir.</w:t>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70"/>
        <w:gridCol w:w="1701"/>
        <w:gridCol w:w="1701"/>
      </w:tblGrid>
      <w:tr>
        <w:trPr>
          <w:trHeight w:val="397" w:hRule="atLeast"/>
        </w:trPr>
        <w:tc>
          <w:tcPr>
            <w:tcW w:w="9072" w:type="dxa"/>
            <w:gridSpan w:val="3"/>
            <w:tcBorders>
              <w:top w:val="single" w:sz="4" w:space="0" w:color="000000"/>
              <w:left w:val="single" w:sz="4" w:space="0" w:color="000000"/>
              <w:bottom w:val="single" w:sz="8"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Finansal Durum Tablosu</w:t>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68" w:hanging="0"/>
              <w:rPr>
                <w:b/>
                <w:b/>
              </w:rPr>
            </w:pPr>
            <w:r>
              <w:rPr>
                <w:b/>
                <w:bCs/>
              </w:rPr>
              <w:t>Hesap Kalemleri (TL)</w:t>
            </w:r>
          </w:p>
        </w:tc>
        <w:tc>
          <w:tcPr>
            <w:tcW w:w="1701" w:type="dxa"/>
            <w:tcBorders>
              <w:top w:val="single" w:sz="4" w:space="0" w:color="000000"/>
              <w:left w:val="single" w:sz="8"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t>31/12/20**</w:t>
            </w:r>
          </w:p>
        </w:tc>
        <w:tc>
          <w:tcPr>
            <w:tcW w:w="1701" w:type="dxa"/>
            <w:tcBorders>
              <w:top w:val="single" w:sz="4" w:space="0" w:color="000000"/>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t>31/12/20**</w:t>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b/>
                <w:b/>
              </w:rPr>
            </w:pPr>
            <w:r>
              <w:rPr>
                <w:b/>
              </w:rPr>
              <w:t>Dönen Varlıklar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b/>
                <w:b/>
              </w:rPr>
            </w:pPr>
            <w:r>
              <w:rPr>
                <w:b/>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b/>
                <w:b/>
              </w:rPr>
            </w:pPr>
            <w:r>
              <w:rPr>
                <w:b/>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Nakit ve Nakit Benzerleri</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Ticari Alacaklar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Stoklar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b/>
                <w:b/>
              </w:rPr>
            </w:pPr>
            <w:r>
              <w:rPr>
                <w:b/>
              </w:rPr>
              <w:t>Duran Varlıklar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b/>
                <w:b/>
              </w:rPr>
            </w:pPr>
            <w:r>
              <w:rPr>
                <w:b/>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b/>
                <w:b/>
              </w:rPr>
            </w:pPr>
            <w:r>
              <w:rPr>
                <w:b/>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Maddi Duran Varlıklar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Maddi Olmayan Duran Varlıklar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b/>
                <w:b/>
              </w:rPr>
            </w:pPr>
            <w:r>
              <w:rPr>
                <w:b/>
              </w:rPr>
              <w:t>Kısa Vadeli Yükümlülükler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b/>
                <w:b/>
              </w:rPr>
            </w:pPr>
            <w:r>
              <w:rPr>
                <w:b/>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b/>
                <w:b/>
              </w:rPr>
            </w:pPr>
            <w:r>
              <w:rPr>
                <w:b/>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Finansal Borçlar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Ticari Borçlar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Diğer Borçlar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b/>
                <w:b/>
              </w:rPr>
            </w:pPr>
            <w:r>
              <w:rPr>
                <w:b/>
              </w:rPr>
              <w:t>Uzun Vadeli Yükümlülükler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b/>
                <w:b/>
              </w:rPr>
            </w:pPr>
            <w:r>
              <w:rPr>
                <w:b/>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b/>
                <w:b/>
              </w:rPr>
            </w:pPr>
            <w:r>
              <w:rPr>
                <w:b/>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Finansal Borçlar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Ticari Borçlar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Diğer Borçlar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b/>
                <w:b/>
              </w:rPr>
            </w:pPr>
            <w:r>
              <w:rPr>
                <w:b/>
              </w:rPr>
              <w:t>Özkaynaklar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b/>
                <w:b/>
              </w:rPr>
            </w:pPr>
            <w:r>
              <w:rPr>
                <w:b/>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b/>
                <w:b/>
              </w:rPr>
            </w:pPr>
            <w:r>
              <w:rPr>
                <w:b/>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Ödenmiş Sermaye</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Geçmiş Yıllar Karları/Zararları</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tabs>
                <w:tab w:val="clear" w:pos="709"/>
                <w:tab w:val="left" w:pos="306" w:leader="none"/>
              </w:tabs>
              <w:ind w:right="-468" w:hanging="0"/>
              <w:jc w:val="left"/>
              <w:rPr/>
            </w:pPr>
            <w:r>
              <w:rPr/>
              <w:tab/>
              <w:t>Net Dönem Karı/Zararı</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b/>
                <w:b/>
              </w:rPr>
            </w:pPr>
            <w:r>
              <w:rPr>
                <w:b/>
              </w:rPr>
              <w:t>AKTİF/PASİF TOPLAMI</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b/>
                <w:b/>
              </w:rPr>
            </w:pPr>
            <w:r>
              <w:rPr>
                <w:b/>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b/>
                <w:b/>
              </w:rPr>
            </w:pPr>
            <w:r>
              <w:rPr>
                <w:b/>
              </w:rPr>
            </w:r>
          </w:p>
        </w:tc>
      </w:tr>
    </w:tbl>
    <w:p>
      <w:pPr>
        <w:pStyle w:val="Normal"/>
        <w:spacing w:before="0" w:after="120"/>
        <w:ind w:firstLine="709"/>
        <w:rPr/>
      </w:pPr>
      <w:r>
        <w:rPr/>
      </w:r>
    </w:p>
    <w:p>
      <w:pPr>
        <w:pStyle w:val="Normal"/>
        <w:spacing w:before="0" w:after="120"/>
        <w:ind w:firstLine="709"/>
        <w:rPr/>
      </w:pPr>
      <w:r>
        <w:rPr/>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70"/>
        <w:gridCol w:w="1701"/>
        <w:gridCol w:w="1701"/>
      </w:tblGrid>
      <w:tr>
        <w:trPr>
          <w:trHeight w:val="397" w:hRule="atLeast"/>
        </w:trPr>
        <w:tc>
          <w:tcPr>
            <w:tcW w:w="9072" w:type="dxa"/>
            <w:gridSpan w:val="3"/>
            <w:tcBorders>
              <w:top w:val="single" w:sz="4" w:space="0" w:color="000000"/>
              <w:left w:val="single" w:sz="4" w:space="0" w:color="000000"/>
              <w:bottom w:val="single" w:sz="8"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Gelir Tablosu</w:t>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68" w:hanging="0"/>
              <w:rPr>
                <w:b/>
                <w:b/>
              </w:rPr>
            </w:pPr>
            <w:r>
              <w:rPr>
                <w:b/>
                <w:bCs/>
              </w:rPr>
              <w:t>Hesap Kalemleri (TL)</w:t>
            </w:r>
          </w:p>
        </w:tc>
        <w:tc>
          <w:tcPr>
            <w:tcW w:w="1701" w:type="dxa"/>
            <w:tcBorders>
              <w:top w:val="single" w:sz="4" w:space="0" w:color="000000"/>
              <w:left w:val="single" w:sz="8"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t>31/12/20**</w:t>
            </w:r>
          </w:p>
        </w:tc>
        <w:tc>
          <w:tcPr>
            <w:tcW w:w="1701" w:type="dxa"/>
            <w:tcBorders>
              <w:top w:val="single" w:sz="4" w:space="0" w:color="000000"/>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t>31/12/20**</w:t>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t>Hasılat</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t>Satışların Maliyeti</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t>Esas Faaliyet Karı/Zararı</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t>Finansman Giderleri (net)</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t>Vergi Giderleri</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pPr>
            <w:r>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pPr>
            <w:r>
              <w:rPr/>
            </w:r>
          </w:p>
        </w:tc>
      </w:tr>
      <w:tr>
        <w:trPr>
          <w:trHeight w:val="340" w:hRule="atLeast"/>
        </w:trPr>
        <w:tc>
          <w:tcPr>
            <w:tcW w:w="567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b/>
              </w:rPr>
              <w:t>NET KAR/ZARAR</w:t>
            </w:r>
          </w:p>
        </w:tc>
        <w:tc>
          <w:tcPr>
            <w:tcW w:w="170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jc w:val="right"/>
              <w:rPr>
                <w:b/>
                <w:b/>
              </w:rPr>
            </w:pPr>
            <w:r>
              <w:rPr>
                <w:b/>
              </w:rPr>
            </w:r>
          </w:p>
        </w:tc>
        <w:tc>
          <w:tcPr>
            <w:tcW w:w="1701"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b/>
                <w:b/>
              </w:rPr>
            </w:pPr>
            <w:r>
              <w:rPr>
                <w:b/>
              </w:rPr>
            </w:r>
          </w:p>
        </w:tc>
      </w:tr>
    </w:tbl>
    <w:p>
      <w:pPr>
        <w:pStyle w:val="Normal"/>
        <w:spacing w:before="0" w:after="120"/>
        <w:ind w:firstLine="709"/>
        <w:rPr/>
      </w:pPr>
      <w:r>
        <w:rPr/>
      </w:r>
    </w:p>
    <w:p>
      <w:pPr>
        <w:pStyle w:val="Normal"/>
        <w:spacing w:before="0" w:after="120"/>
        <w:ind w:firstLine="709"/>
        <w:rPr>
          <w:b/>
          <w:b/>
        </w:rPr>
      </w:pPr>
      <w:r>
        <w:rPr>
          <w:b/>
        </w:rPr>
        <w:t>[GİRİŞİM ŞİRKETİ]’nin (TMS/TFRS’ye veya VUK’a) göre hazırlanan ve yukarıdaki tablolarda özetine yer verilen finansal tabloları ekte bir bütün olarak sunulmaktadır.</w:t>
      </w:r>
      <w:r>
        <w:rPr>
          <w:rStyle w:val="DipnotSabitleyicisi"/>
          <w:b/>
        </w:rPr>
        <w:footnoteReference w:id="6"/>
      </w:r>
    </w:p>
    <w:p>
      <w:pPr>
        <w:pStyle w:val="Normal"/>
        <w:spacing w:before="0" w:after="120"/>
        <w:ind w:firstLine="709"/>
        <w:rPr/>
      </w:pPr>
      <w:r>
        <w:rPr/>
      </w:r>
    </w:p>
    <w:p>
      <w:pPr>
        <w:pStyle w:val="ListParagraph"/>
        <w:numPr>
          <w:ilvl w:val="0"/>
          <w:numId w:val="13"/>
        </w:numPr>
        <w:spacing w:before="0" w:after="120"/>
        <w:ind w:left="709" w:hanging="709"/>
        <w:contextualSpacing/>
        <w:outlineLvl w:val="2"/>
        <w:rPr>
          <w:rFonts w:ascii="Times New Roman" w:hAnsi="Times New Roman"/>
          <w:b/>
          <w:b/>
          <w:szCs w:val="24"/>
          <w:lang w:val="tr-TR"/>
        </w:rPr>
      </w:pPr>
      <w:r>
        <w:rPr>
          <w:rFonts w:ascii="Times New Roman" w:hAnsi="Times New Roman"/>
          <w:b/>
          <w:szCs w:val="24"/>
          <w:lang w:val="tr-TR"/>
        </w:rPr>
        <w:t>Fon kaynakları ve finansman yapısı hakkında bilgiler</w:t>
      </w:r>
    </w:p>
    <w:p>
      <w:pPr>
        <w:pStyle w:val="Normal"/>
        <w:spacing w:before="0" w:after="120"/>
        <w:ind w:firstLine="709"/>
        <w:rPr/>
      </w:pPr>
      <w:r>
        <w:rPr/>
        <w:t>Girişim şirketinin kısa ve uzun vadeli fon kaynakları, fon kaynaklarının kullanımına ilişkin herhangi bir sınırlama olup olmadığı, borçlanma ihtiyacı, borç yapısı ve nakit akışı hakkında bilgi verilerek, mevcut yükümlülüklerini karşılamak için yeterli işletme sermayesinin bulunup bulunmadığı hakkında değerlendirme yapılacaktır.</w:t>
      </w:r>
    </w:p>
    <w:p>
      <w:pPr>
        <w:pStyle w:val="Normal"/>
        <w:spacing w:before="0" w:after="120"/>
        <w:ind w:firstLine="709"/>
        <w:rPr/>
      </w:pPr>
      <w:r>
        <w:rPr/>
      </w:r>
    </w:p>
    <w:p>
      <w:pPr>
        <w:pStyle w:val="Normal"/>
        <w:spacing w:before="0" w:after="120"/>
        <w:ind w:firstLine="709"/>
        <w:rPr/>
      </w:pPr>
      <w:r>
        <w:rPr/>
      </w:r>
    </w:p>
    <w:p>
      <w:pPr>
        <w:pStyle w:val="ListParagraph"/>
        <w:numPr>
          <w:ilvl w:val="0"/>
          <w:numId w:val="2"/>
        </w:numPr>
        <w:spacing w:before="0" w:after="120"/>
        <w:ind w:left="709" w:hanging="709"/>
        <w:outlineLvl w:val="1"/>
        <w:rPr>
          <w:rFonts w:ascii="Times New Roman" w:hAnsi="Times New Roman"/>
          <w:b/>
          <w:b/>
          <w:szCs w:val="24"/>
          <w:lang w:val="tr-TR"/>
        </w:rPr>
      </w:pPr>
      <w:r>
        <w:rPr>
          <w:rFonts w:ascii="Times New Roman" w:hAnsi="Times New Roman"/>
          <w:b/>
          <w:szCs w:val="24"/>
          <w:lang w:val="tr-TR"/>
        </w:rPr>
        <w:t>Hukuki Durum</w:t>
      </w:r>
    </w:p>
    <w:p>
      <w:pPr>
        <w:pStyle w:val="Normal"/>
        <w:spacing w:before="0" w:after="120"/>
        <w:ind w:firstLine="709"/>
        <w:rPr/>
      </w:pPr>
      <w:r>
        <w:rPr/>
        <w:t>Girişim şirketinin finansal durumu veya karlılığı üzerinde önemli etkisi olmuş veya olması beklenen davalar, hukuki takibatlar ve tahkim işlemleri gibi her türlü uyuşmazlık hakkında bilgi verilecektir.</w:t>
      </w:r>
    </w:p>
    <w:p>
      <w:pPr>
        <w:pStyle w:val="Normal"/>
        <w:spacing w:before="0" w:after="120"/>
        <w:ind w:firstLine="709"/>
        <w:rPr/>
      </w:pPr>
      <w:r>
        <w:rPr/>
        <w:t>Ayrıca, girişim şirketinin faaliyetleri için ihtiyaç duyduğu izin, onay, lisans vb. süreçler açıklanacak, faaliyetlerini etkileyecek hukuki uyuşmazlıkların bulunup bulunmadığı ve kuruluş ve faaliyet bakımından tabi olduğu mevzuat karşısındaki durumu hakkında değerlendirme yapılacaktır.</w:t>
      </w:r>
    </w:p>
    <w:p>
      <w:pPr>
        <w:pStyle w:val="Normal"/>
        <w:spacing w:before="0" w:after="120"/>
        <w:ind w:firstLine="709"/>
        <w:rPr/>
      </w:pPr>
      <w:r>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KAMPANYA HAKKINDA BİLGİLER</w:t>
      </w:r>
    </w:p>
    <w:p>
      <w:pPr>
        <w:pStyle w:val="ListParagraph"/>
        <w:numPr>
          <w:ilvl w:val="0"/>
          <w:numId w:val="5"/>
        </w:numPr>
        <w:spacing w:before="0" w:after="120"/>
        <w:ind w:left="709" w:hanging="709"/>
        <w:outlineLvl w:val="1"/>
        <w:rPr>
          <w:rFonts w:ascii="Times New Roman" w:hAnsi="Times New Roman"/>
          <w:b/>
          <w:b/>
          <w:szCs w:val="24"/>
          <w:lang w:val="tr-TR"/>
        </w:rPr>
      </w:pPr>
      <w:r>
        <w:rPr>
          <w:rFonts w:ascii="Times New Roman" w:hAnsi="Times New Roman"/>
          <w:b/>
          <w:szCs w:val="24"/>
          <w:lang w:val="tr-TR"/>
        </w:rPr>
        <w:t>Genel Gerekçe ve Temel Bilgiler</w:t>
      </w:r>
    </w:p>
    <w:p>
      <w:pPr>
        <w:pStyle w:val="Normal"/>
        <w:spacing w:before="0" w:after="120"/>
        <w:ind w:firstLine="709"/>
        <w:rPr/>
      </w:pPr>
      <w:r>
        <w:rPr/>
        <w:t>Kitle fonlaması kampanyası yürütülmesinin ve paya dayalı modelin seçilmesinin gerekçeleri ile girişim şirketini bu finansman yöntemine sevk eden motivasyon unsurları hakkında açıklama yapılacaktır. Diğer çeşitli dış finansman kaynaklarından fon temin edilememiş olması halinde bu durum gerekçeleriyle birlikte ayrıca belirtilecektir.</w:t>
      </w:r>
    </w:p>
    <w:p>
      <w:pPr>
        <w:pStyle w:val="Normal"/>
        <w:spacing w:before="0" w:after="120"/>
        <w:ind w:firstLine="709"/>
        <w:rPr/>
      </w:pPr>
      <w:r>
        <w:rPr/>
        <w:t>Ek olarak, kampanya süresi, varsa ek fon toplama dahil hedeflenen fon tutarı, kampanyanın başarılı bir şekilde sonuçlanması halinde ortaya konulacak ürün ve hizmetler ile girişim şirketi, ilişkili tarafları ve diğer üçüncü kişilerce elde edilecek menfaatler hakkında bilgilere yer verilecektir.</w:t>
      </w:r>
    </w:p>
    <w:p>
      <w:pPr>
        <w:pStyle w:val="Normal"/>
        <w:spacing w:before="0" w:after="120"/>
        <w:ind w:firstLine="709"/>
        <w:rPr/>
      </w:pPr>
      <w:r>
        <w:rPr/>
      </w:r>
    </w:p>
    <w:p>
      <w:pPr>
        <w:pStyle w:val="ListParagraph"/>
        <w:numPr>
          <w:ilvl w:val="0"/>
          <w:numId w:val="5"/>
        </w:numPr>
        <w:spacing w:before="0" w:after="120"/>
        <w:ind w:left="709" w:hanging="709"/>
        <w:outlineLvl w:val="1"/>
        <w:rPr>
          <w:rFonts w:ascii="Times New Roman" w:hAnsi="Times New Roman"/>
          <w:b/>
          <w:b/>
          <w:szCs w:val="24"/>
          <w:lang w:val="tr-TR"/>
        </w:rPr>
      </w:pPr>
      <w:r>
        <w:rPr>
          <w:rFonts w:ascii="Times New Roman" w:hAnsi="Times New Roman"/>
          <w:b/>
          <w:szCs w:val="24"/>
          <w:lang w:val="tr-TR"/>
        </w:rPr>
        <w:t>Fon Kullanım Yeri</w:t>
      </w:r>
    </w:p>
    <w:p>
      <w:pPr>
        <w:pStyle w:val="Normal"/>
        <w:spacing w:before="0" w:after="120"/>
        <w:ind w:firstLine="709"/>
        <w:rPr/>
      </w:pPr>
      <w:r>
        <w:rPr/>
        <w:t>Bu kısımda, kampanyanın başarılı sonuçlanması halinde elde edilecek fonun kullanım yerlerine detaylı bir biçimde yer verilecektir. Verilecek bilginin, Tebliğ’in 20 nci maddesinin birinci fıkrası uyarınca hazırlanan rapor ile çelişmeyecek şekilde olması gerekir.</w:t>
      </w:r>
    </w:p>
    <w:p>
      <w:pPr>
        <w:pStyle w:val="Normal"/>
        <w:spacing w:before="0" w:after="120"/>
        <w:ind w:firstLine="709"/>
        <w:rPr/>
      </w:pPr>
      <w:r>
        <w:rPr/>
        <w:t xml:space="preserve">Brüt gelir, kampanya ile ilişkili toplam maliyetler de göz önünde bulundurularak net gelire indirgenecektir. Fon kullanım alanları, her bir harcama kalemi bazında açıkça oran veya tutar belirtilmek suretiyle, talep edilmesi halinde ek satış yoluyla hedeflenen tutarın üzerinde fon sağlanması ihtimali de ayrıca dikkate alınarak belirlenecektir. Fon kullanım tarihleri ilgili harcama kalemleri kırılımında net bir tarih veya tarih aralığı olarak belirlenecek ve </w:t>
      </w:r>
      <w:r>
        <w:rPr>
          <w:lang w:eastAsia="tr-TR"/>
        </w:rPr>
        <w:t>fonların tamamının kullanılmasının öngörüldüğü nihai tarih belirtilecektir.</w:t>
      </w:r>
    </w:p>
    <w:p>
      <w:pPr>
        <w:pStyle w:val="Normal"/>
        <w:spacing w:before="0" w:after="120"/>
        <w:ind w:firstLine="709"/>
        <w:rPr/>
      </w:pPr>
      <w:r>
        <w:rPr/>
        <w:t>Ayrıca, diğer çeşitli dış finansman kaynaklarından fon sağlanıp sağlanmadığı veya sağlanmasının planlanıp planlanmadığı ve girişim şirketinin kurucu ortakları, ana pay sahipleri, yönetim kurulu üyeleri ve/veya yöneticilerince varsa girişim şirketine sağlanan fonlar da ayrıca belirtilecektir.</w:t>
      </w:r>
    </w:p>
    <w:p>
      <w:pPr>
        <w:pStyle w:val="Normal"/>
        <w:spacing w:before="0" w:after="120"/>
        <w:ind w:firstLine="709"/>
        <w:rPr/>
      </w:pPr>
      <w:r>
        <w:rPr/>
        <w:t>Son olarak, Tebliğ’in 20 nci maddesinin üçüncü ve beşinci fıkraları gereği yapılacak duyuruların usul ve esasları hakkında bilgi verilerek, toplanan fonların ilan edilen amacına uygun olarak kullanılmasından yönetim kurulunun sorumlu olduğu belirtilecektir.</w:t>
      </w:r>
    </w:p>
    <w:p>
      <w:pPr>
        <w:pStyle w:val="Normal"/>
        <w:spacing w:before="0" w:after="120"/>
        <w:ind w:firstLine="709"/>
        <w:rPr>
          <w:b/>
          <w:b/>
        </w:rPr>
      </w:pPr>
      <w:r>
        <w:rPr>
          <w:b/>
        </w:rPr>
        <w:t>Toplanacak fonların hangi amaçlarla kullanılacağına ilişkin olarak Tebliğ’in 20 nci maddesinin birinci fıkrası uyarınca hazırlanan rapor ekte sunulmaktadır.</w:t>
      </w:r>
    </w:p>
    <w:p>
      <w:pPr>
        <w:pStyle w:val="Normal"/>
        <w:spacing w:before="0" w:after="120"/>
        <w:ind w:firstLine="709"/>
        <w:rPr/>
      </w:pPr>
      <w:r>
        <w:rPr/>
      </w:r>
    </w:p>
    <w:p>
      <w:pPr>
        <w:pStyle w:val="Normal"/>
        <w:spacing w:before="0" w:after="120"/>
        <w:ind w:firstLine="709"/>
        <w:rPr/>
      </w:pPr>
      <w:r>
        <w:rPr/>
      </w:r>
    </w:p>
    <w:p>
      <w:pPr>
        <w:pStyle w:val="Normal"/>
        <w:spacing w:before="0" w:after="120"/>
        <w:ind w:firstLine="709"/>
        <w:rPr/>
      </w:pPr>
      <w:r>
        <w:rPr/>
      </w:r>
    </w:p>
    <w:p>
      <w:pPr>
        <w:pStyle w:val="ListParagraph"/>
        <w:numPr>
          <w:ilvl w:val="0"/>
          <w:numId w:val="5"/>
        </w:numPr>
        <w:spacing w:before="0" w:after="120"/>
        <w:ind w:left="709" w:hanging="709"/>
        <w:outlineLvl w:val="1"/>
        <w:rPr>
          <w:rFonts w:ascii="Times New Roman" w:hAnsi="Times New Roman"/>
          <w:b/>
          <w:b/>
          <w:szCs w:val="24"/>
          <w:lang w:val="tr-TR"/>
        </w:rPr>
      </w:pPr>
      <w:r>
        <w:rPr>
          <w:rFonts w:ascii="Times New Roman" w:hAnsi="Times New Roman"/>
          <w:b/>
          <w:szCs w:val="24"/>
          <w:lang w:val="tr-TR"/>
        </w:rPr>
        <w:t>Kar Tahmin ve Beklentileri</w:t>
      </w:r>
    </w:p>
    <w:p>
      <w:pPr>
        <w:pStyle w:val="Normal"/>
        <w:spacing w:before="0" w:after="120"/>
        <w:ind w:firstLine="709"/>
        <w:rPr/>
      </w:pPr>
      <w:r>
        <w:rPr/>
        <w:t>Bu bölüm aşağıdaki ibare ile başlayacaktır:</w:t>
      </w:r>
    </w:p>
    <w:p>
      <w:pPr>
        <w:pStyle w:val="Normal"/>
        <w:spacing w:before="0" w:after="120"/>
        <w:ind w:firstLine="709"/>
        <w:rPr/>
      </w:pPr>
      <w:r>
        <w:rPr/>
        <w:t>Uyarı: Bu bölümü okumadan önce bilgi formunu başındaki “UYARI” kısmını tekrar okuyunuz.</w:t>
      </w:r>
    </w:p>
    <w:p>
      <w:pPr>
        <w:pStyle w:val="Normal"/>
        <w:spacing w:before="0" w:after="120"/>
        <w:ind w:firstLine="709"/>
        <w:rPr/>
      </w:pPr>
      <w:r>
        <w:rPr/>
        <w:t xml:space="preserve">Girişim şirketinin varsa geleceğine yönelik kar tahmin ve beklentilerine ve </w:t>
      </w:r>
      <w:bookmarkStart w:id="0" w:name="_GoBack"/>
      <w:bookmarkEnd w:id="0"/>
      <w:r>
        <w:rPr/>
        <w:t>kar dağıtım politikasına ilişkin bilgilere yer verilecektir. Bu amaçla, girişim şirketinin mevcut ve gelecekteki planlanan faaliyetleri çerçevesinde muhtemel gelir ve gider kalemleri hesaba katılarak bir projeksiyon yapılacaktır. Yapılacak projeksiyonun fon kullanım süresi ile uyumlu olması gerekmektedir.</w:t>
      </w:r>
    </w:p>
    <w:p>
      <w:pPr>
        <w:pStyle w:val="Normal"/>
        <w:spacing w:before="0" w:after="120"/>
        <w:ind w:firstLine="709"/>
        <w:rPr/>
      </w:pPr>
      <w:r>
        <w:rPr/>
        <w:t>Şirketin hedef kitlesince ürün ve/veya hizmetlere yönelik talebe ilişkin somut ve öngörülebilir tahminlerde bulunulacak, ürün ve/veya hizmetlere yönelik gerçekleştirilen pazar araştırması ve hedef kitle analizi ile satış ve pazarlama programı çerçevesinde tahmin ve varsayımlara yer verilecektir. 2 numaralı başlıkta yer verilen açıklamalarla tekrara düşülmeden, geleceğe yönelik kar tahmin ve beklentilerini etkileyecek unsur ve varsayımlara odaklanılacaktır.</w:t>
      </w:r>
    </w:p>
    <w:p>
      <w:pPr>
        <w:pStyle w:val="Normal"/>
        <w:spacing w:before="0" w:after="120"/>
        <w:ind w:firstLine="709"/>
        <w:rPr/>
      </w:pPr>
      <w:r>
        <w:rPr/>
        <w:t>Tahmin ve beklentilerin somut ve öngörülebilir olması ve verilerle desteklenmesi gerekmektedir.</w:t>
      </w:r>
    </w:p>
    <w:p>
      <w:pPr>
        <w:pStyle w:val="Normal"/>
        <w:spacing w:before="0" w:after="120"/>
        <w:ind w:firstLine="709"/>
        <w:rPr/>
      </w:pPr>
      <w:r>
        <w:rPr/>
      </w:r>
    </w:p>
    <w:p>
      <w:pPr>
        <w:pStyle w:val="ListParagraph"/>
        <w:numPr>
          <w:ilvl w:val="0"/>
          <w:numId w:val="5"/>
        </w:numPr>
        <w:spacing w:before="0" w:after="120"/>
        <w:ind w:left="709" w:hanging="709"/>
        <w:outlineLvl w:val="1"/>
        <w:rPr>
          <w:rFonts w:ascii="Times New Roman" w:hAnsi="Times New Roman"/>
          <w:b/>
          <w:b/>
          <w:szCs w:val="24"/>
          <w:lang w:val="tr-TR"/>
        </w:rPr>
      </w:pPr>
      <w:r>
        <w:rPr>
          <w:rFonts w:ascii="Times New Roman" w:hAnsi="Times New Roman"/>
          <w:b/>
          <w:szCs w:val="24"/>
          <w:lang w:val="tr-TR"/>
        </w:rPr>
        <w:t>Geçmiş Kampanyalar</w:t>
      </w:r>
    </w:p>
    <w:p>
      <w:pPr>
        <w:pStyle w:val="Normal"/>
        <w:spacing w:before="0" w:after="120"/>
        <w:ind w:firstLine="709"/>
        <w:rPr/>
      </w:pPr>
      <w:r>
        <w:rPr/>
        <w:t xml:space="preserve">Geçmiş dönemde girişim şirketinin kendisi, ana pay sahipleri, kurucu ortakları, yönetim kurulu üyeleri ve/veya yöneticileri tarafından yürütülmüş herhangi bir paya dayalı kitle fonlaması kampanyasının bulunmaması halinde, bu kısımdaki alt başlıklar silinerek yalnızca </w:t>
      </w:r>
      <w:r>
        <w:rPr>
          <w:b/>
        </w:rPr>
        <w:t xml:space="preserve">“Yoktur.” </w:t>
      </w:r>
      <w:r>
        <w:rPr/>
        <w:t>ibaresine yer verilecektir.</w:t>
      </w:r>
    </w:p>
    <w:p>
      <w:pPr>
        <w:pStyle w:val="Normal"/>
        <w:spacing w:before="0" w:after="120"/>
        <w:ind w:firstLine="709"/>
        <w:rPr>
          <w:b/>
          <w:b/>
        </w:rPr>
      </w:pPr>
      <w:r>
        <w:rPr>
          <w:b/>
        </w:rPr>
      </w:r>
    </w:p>
    <w:p>
      <w:pPr>
        <w:pStyle w:val="ListParagraph"/>
        <w:numPr>
          <w:ilvl w:val="0"/>
          <w:numId w:val="6"/>
        </w:numPr>
        <w:spacing w:before="0" w:after="120"/>
        <w:ind w:left="709" w:hanging="709"/>
        <w:outlineLvl w:val="2"/>
        <w:rPr>
          <w:rFonts w:ascii="Times New Roman" w:hAnsi="Times New Roman"/>
          <w:b/>
          <w:b/>
          <w:szCs w:val="24"/>
          <w:lang w:val="tr-TR"/>
        </w:rPr>
      </w:pPr>
      <w:r>
        <w:rPr>
          <w:rFonts w:ascii="Times New Roman" w:hAnsi="Times New Roman"/>
          <w:b/>
          <w:szCs w:val="24"/>
          <w:lang w:val="tr-TR"/>
        </w:rPr>
        <w:t>Başarılı sonuçlanan kampanyalar hakkında bilgiler</w:t>
      </w:r>
    </w:p>
    <w:p>
      <w:pPr>
        <w:pStyle w:val="Normal"/>
        <w:spacing w:before="0" w:after="120"/>
        <w:ind w:firstLine="709"/>
        <w:rPr/>
      </w:pPr>
      <w:r>
        <w:rPr/>
        <w:t>Bu bölüm aşağıdaki ibare ile başlayacaktır:</w:t>
      </w:r>
    </w:p>
    <w:p>
      <w:pPr>
        <w:pStyle w:val="Normal"/>
        <w:spacing w:before="0" w:after="120"/>
        <w:ind w:firstLine="709"/>
        <w:rPr/>
      </w:pPr>
      <w:r>
        <w:rPr/>
        <w:t>Uyarı: Burada ifade edilen “başarılı sonuçlanan kampanya” ifadesi karlı bir yatırımı ifade etmemektedir. Buradaki başarıdan kasıt hedeflenen fon tutarının kampanya süresinin bitiş tarihi veya kampanya süresiyle birlikte cayma hakkı sürelerinin tüm yatırımcılar bakımından sona erdiği tarih itibarıyla toplanmış olmasıdır.</w:t>
      </w:r>
    </w:p>
    <w:p>
      <w:pPr>
        <w:pStyle w:val="Normal"/>
        <w:spacing w:before="0" w:after="120"/>
        <w:ind w:firstLine="709"/>
        <w:rPr/>
      </w:pPr>
      <w:r>
        <w:rPr/>
        <w:t>Girişim şirketi tarafından varsa daha önce başlatılan ve başarılı bir şekilde sonuçlanan paya dayalı kitle fonlaması kampanyaları hakkında bilgi verilecektir. Girişim şirketinin kurucu ortakları, ana pay sahipleri, yönetim kurulu üyeleri ve/veya yöneticileri tarafından yürütülen veya desteklenen kampanyalar da bu kapsamda değerlendirilecektir.</w:t>
      </w:r>
    </w:p>
    <w:p>
      <w:pPr>
        <w:pStyle w:val="Normal"/>
        <w:spacing w:before="0" w:after="120"/>
        <w:ind w:firstLine="709"/>
        <w:rPr/>
      </w:pPr>
      <w:r>
        <w:rPr/>
        <w:t xml:space="preserve">İçerikte asgari olarak; her bir kampanyanın konusu, ilgili platform, kampanya sayfası, kampanya süresi, hedeflenen fon tutarı, talep edilen ek fon tutarı, gerçekleşen fonlama tutarı, nitelikli yatırımcılar tarafından fonlanan tutar, yatırımcı sayısı, fon kullanımının tamamlanma yüzdesi ve varsa işbu bilgi formunun konusunu oluşturan kampanya ile olan ilişkisi hakkında bilgi ve açıklamalara yer verilecektir. </w:t>
      </w:r>
    </w:p>
    <w:p>
      <w:pPr>
        <w:pStyle w:val="Normal"/>
        <w:spacing w:before="0" w:after="120"/>
        <w:ind w:firstLine="709"/>
        <w:rPr/>
      </w:pPr>
      <w:r>
        <w:rPr/>
        <w:t>Son olarak, son 12 aylık dönemde girişim şirketince paya dayalı kitle fonlaması kampanyası yoluyla sağlanan toplam fon tutarları da ayrıca belirtilecektir.</w:t>
      </w:r>
    </w:p>
    <w:p>
      <w:pPr>
        <w:pStyle w:val="Normal"/>
        <w:spacing w:before="0" w:after="120"/>
        <w:ind w:firstLine="709"/>
        <w:rPr/>
      </w:pPr>
      <w:r>
        <w:rPr/>
      </w:r>
    </w:p>
    <w:p>
      <w:pPr>
        <w:pStyle w:val="Normal"/>
        <w:spacing w:before="0" w:after="120"/>
        <w:ind w:firstLine="709"/>
        <w:rPr/>
      </w:pPr>
      <w:r>
        <w:rPr/>
      </w:r>
    </w:p>
    <w:p>
      <w:pPr>
        <w:pStyle w:val="ListParagraph"/>
        <w:numPr>
          <w:ilvl w:val="0"/>
          <w:numId w:val="6"/>
        </w:numPr>
        <w:spacing w:before="0" w:after="120"/>
        <w:ind w:left="709" w:hanging="709"/>
        <w:outlineLvl w:val="2"/>
        <w:rPr>
          <w:rFonts w:ascii="Times New Roman" w:hAnsi="Times New Roman"/>
          <w:b/>
          <w:b/>
          <w:szCs w:val="24"/>
          <w:lang w:val="tr-TR"/>
        </w:rPr>
      </w:pPr>
      <w:r>
        <w:rPr>
          <w:rFonts w:ascii="Times New Roman" w:hAnsi="Times New Roman"/>
          <w:b/>
          <w:szCs w:val="24"/>
          <w:lang w:val="tr-TR"/>
        </w:rPr>
        <w:t>Başarısız sonuçlanan kampanyalar hakkında bilgiler</w:t>
      </w:r>
    </w:p>
    <w:p>
      <w:pPr>
        <w:pStyle w:val="Normal"/>
        <w:spacing w:before="0" w:after="120"/>
        <w:ind w:firstLine="709"/>
        <w:rPr/>
      </w:pPr>
      <w:r>
        <w:rPr/>
        <w:t>Girişim şirketi tarafından varsa daha önce başlatılan ancak fonlama sağlanamayan paya dayalı kitle fonlaması kampanyaları hakkında bilgi verilecektir. Girişim şirketinin kurucu ortakları, ana pay sahipleri, yönetim kurulu üyeleri ve/veya yöneticileri tarafından yürütülen veya desteklenen kampanyalar da bu kapsamda değerlendirilecektir.</w:t>
      </w:r>
    </w:p>
    <w:p>
      <w:pPr>
        <w:pStyle w:val="Normal"/>
        <w:spacing w:before="0" w:after="120"/>
        <w:ind w:firstLine="709"/>
        <w:rPr/>
      </w:pPr>
      <w:r>
        <w:rPr/>
        <w:t>İçerikte asgari olarak; her bir kampanyanın konusu, ilgili platform, kampanya sayfası, kampanya süresi, hedeflenen fon tutarı, kampanya süresi sonunda elde edilen talep tutarı, işbu bilgi formunun konusunu oluşturan kampanya ile olan ilişkisi ve halihazırda geçmiş kampanyalarla ilgili çalışmaların devam edip etmediği veya bunların farklı yöntemlerle finanse edilip edilmediği hakkında bilgi ve açıklamalara yer verilecektir.</w:t>
      </w:r>
    </w:p>
    <w:p>
      <w:pPr>
        <w:pStyle w:val="Normal"/>
        <w:spacing w:before="0" w:after="120"/>
        <w:ind w:firstLine="709"/>
        <w:rPr/>
      </w:pPr>
      <w:r>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RİSK FAKTÖRLERİ</w:t>
      </w:r>
    </w:p>
    <w:p>
      <w:pPr>
        <w:pStyle w:val="Normal"/>
        <w:spacing w:before="0" w:after="120"/>
        <w:ind w:firstLine="709"/>
        <w:rPr/>
      </w:pPr>
      <w:r>
        <w:rPr/>
        <w:t xml:space="preserve">Bu bölümde; </w:t>
      </w:r>
      <w:r>
        <w:rPr>
          <w:b/>
        </w:rPr>
        <w:t>(i)</w:t>
      </w:r>
      <w:r>
        <w:rPr/>
        <w:t xml:space="preserve"> girişim şirketine ve faaliyetlere, </w:t>
      </w:r>
      <w:r>
        <w:rPr>
          <w:b/>
        </w:rPr>
        <w:t>(ii)</w:t>
      </w:r>
      <w:r>
        <w:rPr/>
        <w:t xml:space="preserve"> girişim şirketinin ve/veya hedef kitlenin içinde bulunduğu sektöre, </w:t>
      </w:r>
      <w:r>
        <w:rPr>
          <w:b/>
        </w:rPr>
        <w:t>(iii)</w:t>
      </w:r>
      <w:r>
        <w:rPr/>
        <w:t xml:space="preserve"> çıkarılacak paylara ve </w:t>
      </w:r>
      <w:r>
        <w:rPr>
          <w:b/>
        </w:rPr>
        <w:t>(iv)</w:t>
      </w:r>
      <w:r>
        <w:rPr/>
        <w:t xml:space="preserve"> yatırım kararı verilmesinde önem taşıyan diğer risklere ayrı başlıklar halinde yer verilecektir.</w:t>
      </w:r>
    </w:p>
    <w:p>
      <w:pPr>
        <w:pStyle w:val="Normal"/>
        <w:spacing w:before="0" w:after="120"/>
        <w:ind w:firstLine="709"/>
        <w:rPr/>
      </w:pPr>
      <w:r>
        <w:rPr/>
      </w:r>
    </w:p>
    <w:p>
      <w:pPr>
        <w:pStyle w:val="ListParagraph"/>
        <w:numPr>
          <w:ilvl w:val="0"/>
          <w:numId w:val="9"/>
        </w:numPr>
        <w:spacing w:before="0" w:after="120"/>
        <w:ind w:left="709" w:hanging="709"/>
        <w:outlineLvl w:val="1"/>
        <w:rPr>
          <w:rFonts w:ascii="Times New Roman" w:hAnsi="Times New Roman"/>
          <w:b/>
          <w:b/>
          <w:szCs w:val="24"/>
          <w:lang w:val="tr-TR"/>
        </w:rPr>
      </w:pPr>
      <w:r>
        <w:rPr>
          <w:rFonts w:ascii="Times New Roman" w:hAnsi="Times New Roman"/>
          <w:b/>
          <w:szCs w:val="24"/>
          <w:lang w:val="tr-TR"/>
        </w:rPr>
        <w:t>Girişim Şirketine ve Faaliyetlere İlişkin Riskler</w:t>
      </w:r>
    </w:p>
    <w:p>
      <w:pPr>
        <w:pStyle w:val="Normal"/>
        <w:spacing w:before="0" w:after="120"/>
        <w:ind w:firstLine="709"/>
        <w:rPr/>
      </w:pPr>
      <w:r>
        <w:rPr/>
        <w:t>Girişim şirketinin hedeflenen/beklenen amacına ulaşmasını engelleyebilecek nitelikteki içsel ve dışsal risk faktörlerine detaylı bir biçimde yer verilecektir.</w:t>
      </w:r>
    </w:p>
    <w:p>
      <w:pPr>
        <w:pStyle w:val="Normal"/>
        <w:spacing w:before="0" w:after="120"/>
        <w:ind w:firstLine="709"/>
        <w:rPr/>
      </w:pPr>
      <w:r>
        <w:rPr/>
      </w:r>
    </w:p>
    <w:p>
      <w:pPr>
        <w:pStyle w:val="ListParagraph"/>
        <w:numPr>
          <w:ilvl w:val="0"/>
          <w:numId w:val="9"/>
        </w:numPr>
        <w:spacing w:before="0" w:after="120"/>
        <w:ind w:left="709" w:hanging="709"/>
        <w:outlineLvl w:val="1"/>
        <w:rPr>
          <w:rFonts w:ascii="Times New Roman" w:hAnsi="Times New Roman"/>
          <w:b/>
          <w:b/>
          <w:szCs w:val="24"/>
          <w:lang w:val="tr-TR"/>
        </w:rPr>
      </w:pPr>
      <w:r>
        <w:rPr>
          <w:rFonts w:ascii="Times New Roman" w:hAnsi="Times New Roman"/>
          <w:b/>
          <w:szCs w:val="24"/>
          <w:lang w:val="tr-TR"/>
        </w:rPr>
        <w:t>Sektöre İlişkin Riskler</w:t>
      </w:r>
    </w:p>
    <w:p>
      <w:pPr>
        <w:pStyle w:val="Normal"/>
        <w:spacing w:before="0" w:after="120"/>
        <w:ind w:firstLine="709"/>
        <w:rPr/>
      </w:pPr>
      <w:r>
        <w:rPr/>
        <w:t>Girişim şirketinin içinde bulunduğu sektör ile şirketin hedef kitlesi olan sektör ve pazarları etkileyebilecek risk unsurlarına yer verilecektir.</w:t>
      </w:r>
    </w:p>
    <w:p>
      <w:pPr>
        <w:pStyle w:val="Normal"/>
        <w:spacing w:before="0" w:after="120"/>
        <w:ind w:firstLine="709"/>
        <w:rPr>
          <w:b/>
          <w:b/>
        </w:rPr>
      </w:pPr>
      <w:r>
        <w:rPr>
          <w:b/>
        </w:rPr>
      </w:r>
    </w:p>
    <w:p>
      <w:pPr>
        <w:pStyle w:val="ListParagraph"/>
        <w:numPr>
          <w:ilvl w:val="0"/>
          <w:numId w:val="9"/>
        </w:numPr>
        <w:spacing w:before="0" w:after="120"/>
        <w:ind w:left="709" w:hanging="709"/>
        <w:outlineLvl w:val="1"/>
        <w:rPr>
          <w:rFonts w:ascii="Times New Roman" w:hAnsi="Times New Roman"/>
          <w:b/>
          <w:b/>
          <w:szCs w:val="24"/>
          <w:lang w:val="tr-TR"/>
        </w:rPr>
      </w:pPr>
      <w:r>
        <w:rPr>
          <w:rFonts w:ascii="Times New Roman" w:hAnsi="Times New Roman"/>
          <w:b/>
          <w:szCs w:val="24"/>
          <w:lang w:val="tr-TR"/>
        </w:rPr>
        <w:t>Paylara İlişkin Riskler</w:t>
      </w:r>
    </w:p>
    <w:p>
      <w:pPr>
        <w:pStyle w:val="Normal"/>
        <w:spacing w:before="0" w:after="120"/>
        <w:ind w:firstLine="709"/>
        <w:rPr/>
      </w:pPr>
      <w:r>
        <w:rPr/>
        <w:t>Yatırımcılara verilecek payların satış fiyatı, likiditesi, devir ve tedavülü, kar payı ödemesi, gelecekteki beklenen değeri, muhtemel değer kayıpları vb. yatırımcılar açısından risk teşkil etmesi beklenen etkenler açıklanacaktır.</w:t>
      </w:r>
    </w:p>
    <w:p>
      <w:pPr>
        <w:pStyle w:val="Normal"/>
        <w:spacing w:before="0" w:after="120"/>
        <w:ind w:firstLine="709"/>
        <w:rPr>
          <w:b/>
          <w:b/>
        </w:rPr>
      </w:pPr>
      <w:r>
        <w:rPr>
          <w:b/>
        </w:rPr>
      </w:r>
    </w:p>
    <w:p>
      <w:pPr>
        <w:pStyle w:val="ListParagraph"/>
        <w:numPr>
          <w:ilvl w:val="0"/>
          <w:numId w:val="9"/>
        </w:numPr>
        <w:spacing w:before="0" w:after="120"/>
        <w:ind w:left="709" w:hanging="709"/>
        <w:outlineLvl w:val="1"/>
        <w:rPr>
          <w:rFonts w:ascii="Times New Roman" w:hAnsi="Times New Roman"/>
          <w:b/>
          <w:b/>
          <w:szCs w:val="24"/>
          <w:lang w:val="tr-TR"/>
        </w:rPr>
      </w:pPr>
      <w:r>
        <w:rPr>
          <w:rFonts w:ascii="Times New Roman" w:hAnsi="Times New Roman"/>
          <w:b/>
          <w:szCs w:val="24"/>
          <w:lang w:val="tr-TR"/>
        </w:rPr>
        <w:t>Diğer Riskler</w:t>
      </w:r>
    </w:p>
    <w:p>
      <w:pPr>
        <w:pStyle w:val="Normal"/>
        <w:spacing w:before="0" w:after="120"/>
        <w:ind w:firstLine="709"/>
        <w:rPr/>
      </w:pPr>
      <w:r>
        <w:rPr/>
        <w:t>Varsa yukarıdaki başlıklar altında değerlendirilemeyecek diğer çeşitli risk unsurlarına yer verilecektir.</w:t>
      </w:r>
    </w:p>
    <w:p>
      <w:pPr>
        <w:pStyle w:val="Normal"/>
        <w:spacing w:before="0" w:after="120"/>
        <w:ind w:firstLine="709"/>
        <w:rPr/>
      </w:pPr>
      <w:r>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PAYLAR VE SATIŞ ESASLARI</w:t>
      </w:r>
    </w:p>
    <w:p>
      <w:pPr>
        <w:pStyle w:val="ListParagraph"/>
        <w:numPr>
          <w:ilvl w:val="0"/>
          <w:numId w:val="7"/>
        </w:numPr>
        <w:spacing w:before="0" w:after="120"/>
        <w:ind w:left="709" w:hanging="709"/>
        <w:outlineLvl w:val="1"/>
        <w:rPr>
          <w:rFonts w:ascii="Times New Roman" w:hAnsi="Times New Roman"/>
          <w:b/>
          <w:b/>
          <w:szCs w:val="24"/>
          <w:lang w:val="tr-TR"/>
        </w:rPr>
      </w:pPr>
      <w:r>
        <w:rPr>
          <w:rFonts w:ascii="Times New Roman" w:hAnsi="Times New Roman"/>
          <w:b/>
          <w:szCs w:val="24"/>
          <w:lang w:val="tr-TR"/>
        </w:rPr>
        <w:t>Çıkarılacak Paylara İlişkin Bilgiler</w:t>
      </w:r>
    </w:p>
    <w:p>
      <w:pPr>
        <w:pStyle w:val="ListParagraph"/>
        <w:numPr>
          <w:ilvl w:val="0"/>
          <w:numId w:val="8"/>
        </w:numPr>
        <w:spacing w:before="0" w:after="120"/>
        <w:ind w:left="709" w:hanging="709"/>
        <w:outlineLvl w:val="2"/>
        <w:rPr>
          <w:rFonts w:ascii="Times New Roman" w:hAnsi="Times New Roman"/>
          <w:b/>
          <w:b/>
          <w:szCs w:val="24"/>
          <w:lang w:val="tr-TR"/>
        </w:rPr>
      </w:pPr>
      <w:r>
        <w:rPr>
          <w:rFonts w:ascii="Times New Roman" w:hAnsi="Times New Roman"/>
          <w:b/>
          <w:szCs w:val="24"/>
          <w:lang w:val="tr-TR"/>
        </w:rPr>
        <w:t>Türü ve niteliği hakkında bilgiler</w:t>
      </w:r>
    </w:p>
    <w:p>
      <w:pPr>
        <w:pStyle w:val="Normal"/>
        <w:spacing w:before="0" w:after="120"/>
        <w:ind w:firstLine="709"/>
        <w:rPr/>
      </w:pPr>
      <w:r>
        <w:rPr/>
        <w:t>Kampanyanın başarılı sonuçlanması halinde, girişim şirketince çıkarılacak payların türü, sayısı, cinsi, varsa grubu, pay sayısının grup ve sermayeyi temsil eden paylar içerisindeki oranı ile birim ve toplam nominal değerleri hakkında bilgi verilecektir. Girişim şirketinin mevcut ortaklık yapısı ve kampanyanın başarılı sonuçlanması halinde oluşacak ortaklık yapısı karşılaştırmalı olarak sunulacaktır.</w:t>
      </w:r>
    </w:p>
    <w:p>
      <w:pPr>
        <w:pStyle w:val="Normal"/>
        <w:spacing w:before="0" w:after="120"/>
        <w:ind w:firstLine="709"/>
        <w:rPr/>
      </w:pPr>
      <w:r>
        <w:rPr/>
      </w:r>
    </w:p>
    <w:p>
      <w:pPr>
        <w:pStyle w:val="ListParagraph"/>
        <w:numPr>
          <w:ilvl w:val="0"/>
          <w:numId w:val="8"/>
        </w:numPr>
        <w:spacing w:before="0" w:after="120"/>
        <w:ind w:left="709" w:hanging="709"/>
        <w:outlineLvl w:val="2"/>
        <w:rPr>
          <w:rFonts w:ascii="Times New Roman" w:hAnsi="Times New Roman"/>
          <w:b/>
          <w:b/>
          <w:szCs w:val="24"/>
          <w:lang w:val="tr-TR"/>
        </w:rPr>
      </w:pPr>
      <w:r>
        <w:rPr>
          <w:rFonts w:ascii="Times New Roman" w:hAnsi="Times New Roman"/>
          <w:b/>
          <w:szCs w:val="24"/>
          <w:lang w:val="tr-TR"/>
        </w:rPr>
        <w:t>Satış fiyatı hakkında bilgiler</w:t>
      </w:r>
    </w:p>
    <w:p>
      <w:pPr>
        <w:pStyle w:val="Normal"/>
        <w:spacing w:before="0" w:after="120"/>
        <w:ind w:firstLine="709"/>
        <w:rPr/>
      </w:pPr>
      <w:r>
        <w:rPr/>
        <w:t>Çıkarılacak payların birim satış fiyatı, satış fiyatının belirlenmesinde kullanılan yöntem ve varsayımlar ile varsa yararlanılan raporlar ile birlikte belirtilecektir. Varsa raporlar bilgi formu ekinde ilan edilecektir.</w:t>
      </w:r>
    </w:p>
    <w:p>
      <w:pPr>
        <w:pStyle w:val="Normal"/>
        <w:spacing w:before="0" w:after="120"/>
        <w:ind w:firstLine="709"/>
        <w:rPr/>
      </w:pPr>
      <w:r>
        <w:rPr/>
      </w:r>
    </w:p>
    <w:p>
      <w:pPr>
        <w:pStyle w:val="ListParagraph"/>
        <w:numPr>
          <w:ilvl w:val="0"/>
          <w:numId w:val="8"/>
        </w:numPr>
        <w:spacing w:before="0" w:after="120"/>
        <w:ind w:left="709" w:hanging="709"/>
        <w:outlineLvl w:val="2"/>
        <w:rPr>
          <w:rFonts w:ascii="Times New Roman" w:hAnsi="Times New Roman"/>
          <w:b/>
          <w:b/>
          <w:szCs w:val="24"/>
          <w:lang w:val="tr-TR"/>
        </w:rPr>
      </w:pPr>
      <w:r>
        <w:rPr>
          <w:rFonts w:ascii="Times New Roman" w:hAnsi="Times New Roman"/>
          <w:b/>
          <w:szCs w:val="24"/>
          <w:lang w:val="tr-TR"/>
        </w:rPr>
        <w:t>Hak, yükümlülük ve kısıtlamalar hakkında bilgiler</w:t>
      </w:r>
    </w:p>
    <w:p>
      <w:pPr>
        <w:pStyle w:val="Normal"/>
        <w:spacing w:before="0" w:after="120"/>
        <w:ind w:firstLine="709"/>
        <w:rPr/>
      </w:pPr>
      <w:r>
        <w:rPr/>
        <w:t>Çıkarılacak payların hangi mevzuat kapsamında oluşturulacağı, yatırımcısına sunacağı haklar ve getireceği yükümlülükler ile bu hakların kullanımına ilişkin prosedürler ve varsa kısıtlamalar belirtilecektir. Ayrıca, bu payların tüm ortaklık hak ve koşulları ile varsa bu paylara ilişkin imtiyazlar ve nitelikli yatırımcılar hariç olmak üzere yatırımcılara verilecek paylar arasında imtiyaz farkı yaratılamayacağı bu kısımda açıklanacak; Tebliğ’in 19 uncu maddesi gereği kaydileştirme esasları belirtilecektir.</w:t>
      </w:r>
    </w:p>
    <w:p>
      <w:pPr>
        <w:pStyle w:val="Normal"/>
        <w:spacing w:before="0" w:after="120"/>
        <w:ind w:firstLine="709"/>
        <w:rPr/>
      </w:pPr>
      <w:r>
        <w:rPr/>
        <w:t>Ayrıca, Tebliğ’in 16 ncı maddesinin onuncu fıkrası kapsamında girişim şirketinin mevcut ortaklarının, kampanya sürecinin başladığı tarihi takip eden üç yıl içerisinde miras, mirasın paylaşımı, eşler arasındaki mal rejimi hükümleri, cebri icra ve nitelikli yatırımcılara veya kendi aralarında yapılacak devirler dışında paylarını devredemeyecekleri hususunda bilgi verilecektir.</w:t>
      </w:r>
    </w:p>
    <w:p>
      <w:pPr>
        <w:pStyle w:val="Normal"/>
        <w:spacing w:before="0" w:after="120"/>
        <w:ind w:firstLine="709"/>
        <w:rPr/>
      </w:pPr>
      <w:r>
        <w:rPr/>
      </w:r>
    </w:p>
    <w:p>
      <w:pPr>
        <w:pStyle w:val="ListParagraph"/>
        <w:numPr>
          <w:ilvl w:val="0"/>
          <w:numId w:val="7"/>
        </w:numPr>
        <w:spacing w:before="0" w:after="120"/>
        <w:ind w:left="709" w:hanging="709"/>
        <w:outlineLvl w:val="1"/>
        <w:rPr>
          <w:rFonts w:ascii="Times New Roman" w:hAnsi="Times New Roman"/>
          <w:b/>
          <w:b/>
          <w:szCs w:val="24"/>
          <w:lang w:val="tr-TR"/>
        </w:rPr>
      </w:pPr>
      <w:r>
        <w:rPr>
          <w:rFonts w:ascii="Times New Roman" w:hAnsi="Times New Roman"/>
          <w:b/>
          <w:szCs w:val="24"/>
          <w:lang w:val="tr-TR"/>
        </w:rPr>
        <w:t>Talep, Satış ve Dağıtım Süreci</w:t>
      </w:r>
    </w:p>
    <w:p>
      <w:pPr>
        <w:pStyle w:val="ListParagraph"/>
        <w:numPr>
          <w:ilvl w:val="0"/>
          <w:numId w:val="11"/>
        </w:numPr>
        <w:spacing w:before="0" w:after="120"/>
        <w:ind w:left="709" w:hanging="709"/>
        <w:outlineLvl w:val="2"/>
        <w:rPr>
          <w:rFonts w:ascii="Times New Roman" w:hAnsi="Times New Roman"/>
          <w:b/>
          <w:b/>
          <w:szCs w:val="24"/>
          <w:lang w:val="tr-TR"/>
        </w:rPr>
      </w:pPr>
      <w:r>
        <w:rPr>
          <w:rFonts w:ascii="Times New Roman" w:hAnsi="Times New Roman"/>
          <w:b/>
          <w:szCs w:val="24"/>
          <w:lang w:val="tr-TR"/>
        </w:rPr>
        <w:t>Talep ve başvuru süreci hakkında bilgiler</w:t>
      </w:r>
    </w:p>
    <w:p>
      <w:pPr>
        <w:pStyle w:val="Normal"/>
        <w:spacing w:before="0" w:after="120"/>
        <w:ind w:firstLine="709"/>
        <w:rPr/>
      </w:pPr>
      <w:r>
        <w:rPr/>
        <w:t>Yatırımcılar tarafından hangi kanallardan ne şekilde talepte bulunulacağı, her bir yatırımcı tarafından sağlanabilecek asgari tutarlara, talepte bulunulması için hangi koşulların sağlanması gerektiği vb. hususlara yer verilecektir. Örneğin, satışın yalnızca nitelikli yatırımcılara yönelik olması durumunda bu hususun burada açıkça belirtilmesi ve nitelikli yatırımcı olmayan kişilerin talepte bulunamayacaklarının vurgulanması gerekir.</w:t>
      </w:r>
    </w:p>
    <w:p>
      <w:pPr>
        <w:pStyle w:val="Normal"/>
        <w:spacing w:before="0" w:after="120"/>
        <w:ind w:firstLine="709"/>
        <w:rPr/>
      </w:pPr>
      <w:r>
        <w:rPr/>
        <w:t>Ayrıca, talepte bulunan yatırımcıların bu taleplerinden cayma haklarının olduğu ve bu hakkın kullanım esasları hakkında bilgi verilecektir. Örneğin, Tebliğ’in 17 nci maddesinin dördüncü fıkrası kapsamında cayma hakkı kullanımının ne şekilde bildirilmesi gerektiği, 18 inci maddenin ikinci fıkrası gereği yatırımcılara yapılacak bildirimin ne şekilde yapılacağı vb. operasyonel konulara açıklık getirilecektir.</w:t>
      </w:r>
    </w:p>
    <w:p>
      <w:pPr>
        <w:pStyle w:val="Normal"/>
        <w:spacing w:before="0" w:after="120"/>
        <w:ind w:firstLine="709"/>
        <w:rPr/>
      </w:pPr>
      <w:r>
        <w:rPr/>
        <w:t>Son olarak, hedeflenen fon tutarının üzerinde bir talep gelmesi durumunda izlenecek prosedürler açıklanacak, Tebliğ’in 17 nci maddesinin beşinci fıkrası uyarınca varsa ek satış dahil hedeflenen fon tutarının kampanya süresinin bitiş tarihinden önce toplanması halinde kampanya süresinin erken sonlandırılıp sonlandırılmayacağı hakkında bilgi verilecektir.</w:t>
      </w:r>
    </w:p>
    <w:p>
      <w:pPr>
        <w:pStyle w:val="Normal"/>
        <w:spacing w:before="0" w:after="120"/>
        <w:ind w:firstLine="709"/>
        <w:rPr/>
      </w:pPr>
      <w:r>
        <w:rPr/>
      </w:r>
    </w:p>
    <w:p>
      <w:pPr>
        <w:pStyle w:val="ListParagraph"/>
        <w:numPr>
          <w:ilvl w:val="0"/>
          <w:numId w:val="11"/>
        </w:numPr>
        <w:spacing w:before="0" w:after="120"/>
        <w:ind w:left="709" w:hanging="709"/>
        <w:outlineLvl w:val="2"/>
        <w:rPr>
          <w:rFonts w:ascii="Times New Roman" w:hAnsi="Times New Roman"/>
          <w:b/>
          <w:b/>
          <w:szCs w:val="24"/>
          <w:lang w:val="tr-TR"/>
        </w:rPr>
      </w:pPr>
      <w:r>
        <w:rPr>
          <w:rFonts w:ascii="Times New Roman" w:hAnsi="Times New Roman"/>
          <w:b/>
          <w:szCs w:val="24"/>
          <w:lang w:val="tr-TR"/>
        </w:rPr>
        <w:t>Ödeme ve iade süreci hakkında bilgiler</w:t>
      </w:r>
    </w:p>
    <w:p>
      <w:pPr>
        <w:pStyle w:val="Normal"/>
        <w:spacing w:before="0" w:after="120"/>
        <w:ind w:firstLine="709"/>
        <w:rPr/>
      </w:pPr>
      <w:r>
        <w:rPr/>
        <w:t xml:space="preserve">Emanet yetkilisi hakkında bilgi verilecek; talepte bulunan yatırımcıların ödeme emirlerini kime ve ne şekilde ulaştıracakları, ödemelerin kampanya süresince nasıl tasarruf edileceği, emanet yetkilisinin toplanan fon tutarını nemalandırıp nemalandırmayacağı hakkında bilgi verilecektir. </w:t>
      </w:r>
    </w:p>
    <w:p>
      <w:pPr>
        <w:pStyle w:val="Normal"/>
        <w:spacing w:before="0" w:after="120"/>
        <w:ind w:firstLine="709"/>
        <w:rPr/>
      </w:pPr>
      <w:r>
        <w:rPr/>
        <w:t>Ayrıca, kampanyanın başarısız sonuçlanması halinde veya dağıtım listesi dikkate alınarak yapılacak iade işlemlerinde toplanan fonların; nemalandırma halinde ise toplanan fonlara ek olarak bu fonun nemasının hak sahiplerine ne şekilde iade edileceği açıklanacaktır. Platform ile emanet yetkili arasındaki anlaşmaya göre belirlenen nema ve iade prosedürleri belirtilecektir.</w:t>
      </w:r>
    </w:p>
    <w:p>
      <w:pPr>
        <w:pStyle w:val="Normal"/>
        <w:spacing w:before="0" w:after="120"/>
        <w:ind w:firstLine="709"/>
        <w:rPr/>
      </w:pPr>
      <w:r>
        <w:rPr/>
      </w:r>
    </w:p>
    <w:p>
      <w:pPr>
        <w:pStyle w:val="ListParagraph"/>
        <w:numPr>
          <w:ilvl w:val="0"/>
          <w:numId w:val="11"/>
        </w:numPr>
        <w:spacing w:before="0" w:after="120"/>
        <w:ind w:left="709" w:hanging="709"/>
        <w:outlineLvl w:val="2"/>
        <w:rPr>
          <w:rFonts w:ascii="Times New Roman" w:hAnsi="Times New Roman"/>
          <w:b/>
          <w:b/>
          <w:szCs w:val="24"/>
          <w:lang w:val="tr-TR"/>
        </w:rPr>
      </w:pPr>
      <w:r>
        <w:rPr>
          <w:rFonts w:ascii="Times New Roman" w:hAnsi="Times New Roman"/>
          <w:b/>
          <w:szCs w:val="24"/>
          <w:lang w:val="tr-TR"/>
        </w:rPr>
        <w:t>Tahsisat ve dağıtım süreci hakkında bilgiler</w:t>
      </w:r>
    </w:p>
    <w:p>
      <w:pPr>
        <w:pStyle w:val="Normal"/>
        <w:spacing w:before="0" w:after="120"/>
        <w:ind w:firstLine="709"/>
        <w:rPr/>
      </w:pPr>
      <w:r>
        <w:rPr/>
        <w:t>Önceliklendirilen yatırımcı gruplarının bulunup bulunmadığı, hedeflenen fon tutarının üzerinde talep gelmesi halinde, talepte bulunan yatırımcılara yönelik tahsisat ve dağıtımın ne şekilde yapılacağı açıklanacaktır. Örneğin, varsa Tebliğ’in 16 ncı maddesinin sekizinci fıkrası uyarınca nitelikli yatırımcılar için belirlenen tahsisat oranı belirtilecek; ayrıca, fazla talep gelmesi halinde FİFO, LİFO, oransal dağıtım vb. yöntemlerden hangisinin esas alınacağı hakkında bilgi verilecektir.</w:t>
      </w:r>
    </w:p>
    <w:p>
      <w:pPr>
        <w:pStyle w:val="Normal"/>
        <w:spacing w:before="0" w:after="120"/>
        <w:ind w:firstLine="709"/>
        <w:rPr/>
      </w:pPr>
      <w:r>
        <w:rPr/>
        <w:t>Çıkarılacak payların hangi şartlarda ve ne şekilde yatırımcılara dağıtılacağı, dağıtım esnasında ve payların kaydileştirilme sürecinde yatırımcıların ve girişim şirketinin yükümlülükleri, hedeflenen tutardan fazla talep gelmesi halinde gerçekleştirilecek dağıtım esasları vb. hususlar hakkında bilgi verilecektir.</w:t>
      </w:r>
    </w:p>
    <w:p>
      <w:pPr>
        <w:pStyle w:val="Normal"/>
        <w:spacing w:before="0" w:after="120"/>
        <w:ind w:firstLine="709"/>
        <w:rPr/>
      </w:pPr>
      <w:r>
        <w:rPr/>
      </w:r>
    </w:p>
    <w:p>
      <w:pPr>
        <w:pStyle w:val="ListParagraph"/>
        <w:numPr>
          <w:ilvl w:val="0"/>
          <w:numId w:val="7"/>
        </w:numPr>
        <w:spacing w:before="0" w:after="120"/>
        <w:ind w:left="709" w:hanging="709"/>
        <w:outlineLvl w:val="1"/>
        <w:rPr>
          <w:rFonts w:ascii="Times New Roman" w:hAnsi="Times New Roman"/>
          <w:b/>
          <w:b/>
          <w:szCs w:val="24"/>
          <w:lang w:val="tr-TR"/>
        </w:rPr>
      </w:pPr>
      <w:r>
        <w:rPr>
          <w:rFonts w:ascii="Times New Roman" w:hAnsi="Times New Roman"/>
          <w:b/>
          <w:szCs w:val="24"/>
          <w:lang w:val="tr-TR"/>
        </w:rPr>
        <w:t>Maliyetler hakkında bilgi</w:t>
      </w:r>
    </w:p>
    <w:p>
      <w:pPr>
        <w:pStyle w:val="Normal"/>
        <w:spacing w:before="0" w:after="120"/>
        <w:ind w:firstLine="709"/>
        <w:rPr/>
      </w:pPr>
      <w:r>
        <w:rPr/>
        <w:t>Hem girişim şirketinin hem de yatırımcıların katlanacakları her türlü ücret, komisyon ve kesintiler gibi maliyetler hakkında bilgi verilecektir.</w:t>
      </w:r>
    </w:p>
    <w:p>
      <w:pPr>
        <w:pStyle w:val="Normal"/>
        <w:spacing w:before="0" w:after="120"/>
        <w:ind w:firstLine="709"/>
        <w:rPr/>
      </w:pPr>
      <w:r>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PLATFORM HAKKINDA BİLGİLER</w:t>
      </w:r>
    </w:p>
    <w:p>
      <w:pPr>
        <w:pStyle w:val="ListParagraph"/>
        <w:numPr>
          <w:ilvl w:val="0"/>
          <w:numId w:val="10"/>
        </w:numPr>
        <w:spacing w:before="0" w:after="120"/>
        <w:ind w:left="709" w:hanging="709"/>
        <w:outlineLvl w:val="1"/>
        <w:rPr>
          <w:rFonts w:ascii="Times New Roman" w:hAnsi="Times New Roman"/>
          <w:b/>
          <w:b/>
          <w:szCs w:val="24"/>
          <w:lang w:val="tr-TR"/>
        </w:rPr>
      </w:pPr>
      <w:r>
        <w:rPr>
          <w:rFonts w:ascii="Times New Roman" w:hAnsi="Times New Roman"/>
          <w:b/>
          <w:szCs w:val="24"/>
          <w:lang w:val="tr-TR"/>
        </w:rPr>
        <w:t>Genel Bilgiler</w:t>
      </w:r>
    </w:p>
    <w:tbl>
      <w:tblPr>
        <w:tblW w:w="90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87"/>
        <w:gridCol w:w="284"/>
        <w:gridCol w:w="5400"/>
      </w:tblGrid>
      <w:tr>
        <w:trPr>
          <w:trHeight w:val="397" w:hRule="atLeast"/>
        </w:trPr>
        <w:tc>
          <w:tcPr>
            <w:tcW w:w="9071" w:type="dxa"/>
            <w:gridSpan w:val="3"/>
            <w:tcBorders>
              <w:bottom w:val="single" w:sz="4" w:space="0" w:color="000000"/>
            </w:tcBorders>
            <w:shd w:color="auto" w:fill="auto" w:val="clear"/>
            <w:vAlign w:val="center"/>
          </w:tcPr>
          <w:p>
            <w:pPr>
              <w:pStyle w:val="Normal"/>
              <w:widowControl w:val="false"/>
              <w:ind w:right="47" w:hanging="0"/>
              <w:rPr>
                <w:b/>
                <w:b/>
              </w:rPr>
            </w:pPr>
            <w:r>
              <w:rPr>
                <w:b/>
              </w:rPr>
              <w:t>Platform Hakkında Genel Bilgiler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Ticaret Unvanı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Tam ticaret unvanı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Merkez Adresi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Tescil edilmiş adresine yer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Listeye Alınma Tarihi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Kurul listesine alınma tarihine yer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Sermayesi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Tescil edilmiş sermayesi ve farklı olması durumunda ödenmiş sermayesi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Başarılı Kampanya Sayısı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Bilgi formu tarihi itibarıyla başarılı sonuçlanan kampanya sayısı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Başarısız Kampanya Sayısı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Bilgi formu tarihi itibarıyla başarısız sonuçlanan kampanya sayısı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Aracılık Edilen Fonlama Tutarı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Bilgi formu tarihi itibarıyla başarılı sonuçlanan kampanyalardan elde edilen fonların toplam tutarı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Telefon Numarası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Üyelerle iletişim amaçlı kullanılan telefon numarası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İnternet Sitesi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Operasyon için kullanılan ve üyelerin erişimine açık bulunan internet sitesi belirtilecektir.</w:t>
            </w:r>
          </w:p>
        </w:tc>
      </w:tr>
    </w:tbl>
    <w:p>
      <w:pPr>
        <w:pStyle w:val="Normal"/>
        <w:spacing w:before="0" w:after="120"/>
        <w:ind w:firstLine="709"/>
        <w:rPr/>
      </w:pPr>
      <w:r>
        <w:rPr/>
      </w:r>
    </w:p>
    <w:p>
      <w:pPr>
        <w:pStyle w:val="Normal"/>
        <w:spacing w:before="0" w:after="120"/>
        <w:ind w:firstLine="709"/>
        <w:rPr/>
      </w:pPr>
      <w:r>
        <w:rPr/>
      </w:r>
    </w:p>
    <w:p>
      <w:pPr>
        <w:pStyle w:val="Normal"/>
        <w:spacing w:before="0" w:after="120"/>
        <w:ind w:firstLine="709"/>
        <w:rPr/>
      </w:pPr>
      <w:r>
        <w:rPr/>
      </w:r>
    </w:p>
    <w:p>
      <w:pPr>
        <w:pStyle w:val="Normal"/>
        <w:spacing w:before="0" w:after="120"/>
        <w:ind w:firstLine="709"/>
        <w:rPr/>
      </w:pPr>
      <w:r>
        <w:rPr/>
      </w:r>
    </w:p>
    <w:p>
      <w:pPr>
        <w:pStyle w:val="ListParagraph"/>
        <w:numPr>
          <w:ilvl w:val="0"/>
          <w:numId w:val="10"/>
        </w:numPr>
        <w:spacing w:before="0" w:after="120"/>
        <w:ind w:left="709" w:hanging="709"/>
        <w:outlineLvl w:val="1"/>
        <w:rPr>
          <w:rFonts w:ascii="Times New Roman" w:hAnsi="Times New Roman"/>
          <w:b/>
          <w:b/>
          <w:szCs w:val="24"/>
          <w:lang w:val="tr-TR"/>
        </w:rPr>
      </w:pPr>
      <w:r>
        <w:rPr>
          <w:rFonts w:ascii="Times New Roman" w:hAnsi="Times New Roman"/>
          <w:b/>
          <w:szCs w:val="24"/>
          <w:lang w:val="tr-TR"/>
        </w:rPr>
        <w:t>Ortaklık Yapısı</w:t>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85"/>
        <w:gridCol w:w="991"/>
        <w:gridCol w:w="1844"/>
        <w:gridCol w:w="1275"/>
        <w:gridCol w:w="1277"/>
      </w:tblGrid>
      <w:tr>
        <w:trPr>
          <w:trHeight w:val="397" w:hRule="atLeast"/>
        </w:trPr>
        <w:tc>
          <w:tcPr>
            <w:tcW w:w="9072" w:type="dxa"/>
            <w:gridSpan w:val="5"/>
            <w:tcBorders>
              <w:top w:val="single" w:sz="4" w:space="0" w:color="000000"/>
              <w:left w:val="single" w:sz="4" w:space="0" w:color="000000"/>
              <w:bottom w:val="single" w:sz="8"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Platform’un Ortaklık Yapısı</w:t>
            </w:r>
          </w:p>
        </w:tc>
      </w:tr>
      <w:tr>
        <w:trPr>
          <w:trHeight w:val="340" w:hRule="atLeast"/>
        </w:trPr>
        <w:tc>
          <w:tcPr>
            <w:tcW w:w="3685"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t>Adı-Soyadı / Ticaret Unvanı</w:t>
            </w:r>
          </w:p>
        </w:tc>
        <w:tc>
          <w:tcPr>
            <w:tcW w:w="4110" w:type="dxa"/>
            <w:gridSpan w:val="3"/>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Sermayedeki Payı</w:t>
            </w:r>
          </w:p>
        </w:tc>
        <w:tc>
          <w:tcPr>
            <w:tcW w:w="1277" w:type="dxa"/>
            <w:vMerge w:val="restart"/>
            <w:tcBorders>
              <w:top w:val="single" w:sz="4" w:space="0" w:color="000000"/>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Oy Hakkı (%)</w:t>
            </w:r>
          </w:p>
        </w:tc>
      </w:tr>
      <w:tr>
        <w:trPr>
          <w:trHeight w:val="340" w:hRule="atLeast"/>
        </w:trPr>
        <w:tc>
          <w:tcPr>
            <w:tcW w:w="368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r>
          </w:p>
        </w:tc>
        <w:tc>
          <w:tcPr>
            <w:tcW w:w="991"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34" w:hanging="0"/>
              <w:jc w:val="center"/>
              <w:rPr>
                <w:b/>
                <w:b/>
              </w:rPr>
            </w:pPr>
            <w:r>
              <w:rPr>
                <w:b/>
              </w:rPr>
              <w:t>Grubu</w:t>
            </w:r>
          </w:p>
        </w:tc>
        <w:tc>
          <w:tcPr>
            <w:tcW w:w="1844"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t>Tutar (TL)</w:t>
            </w:r>
          </w:p>
        </w:tc>
        <w:tc>
          <w:tcPr>
            <w:tcW w:w="1275" w:type="dxa"/>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t>Oran (%)</w:t>
            </w:r>
          </w:p>
        </w:tc>
        <w:tc>
          <w:tcPr>
            <w:tcW w:w="1277" w:type="dxa"/>
            <w:vMerge w:val="continue"/>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b/>
                <w:b/>
              </w:rPr>
            </w:pPr>
            <w:r>
              <w:rPr>
                <w:b/>
              </w:rPr>
            </w:r>
          </w:p>
        </w:tc>
      </w:tr>
      <w:tr>
        <w:trPr>
          <w:trHeight w:val="340" w:hRule="atLeast"/>
        </w:trPr>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jc w:val="left"/>
              <w:rPr/>
            </w:pPr>
            <w:r>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c>
          <w:tcPr>
            <w:tcW w:w="1275"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1277"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r>
      <w:tr>
        <w:trPr>
          <w:trHeight w:val="340" w:hRule="atLeast"/>
        </w:trPr>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jc w:val="left"/>
              <w:rPr/>
            </w:pPr>
            <w:r>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275"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1277"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r>
        <w:trPr>
          <w:trHeight w:val="397" w:hRule="atLeast"/>
        </w:trPr>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t>TOPLAM</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jc w:val="left"/>
              <w:rPr>
                <w:b/>
                <w:b/>
              </w:rPr>
            </w:pPr>
            <w:r>
              <w:rPr>
                <w:b/>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275"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1277"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bl>
    <w:p>
      <w:pPr>
        <w:pStyle w:val="Normal"/>
        <w:spacing w:before="0" w:after="120"/>
        <w:ind w:firstLine="709"/>
        <w:rPr/>
      </w:pPr>
      <w:r>
        <w:rPr/>
      </w:r>
    </w:p>
    <w:p>
      <w:pPr>
        <w:pStyle w:val="Normal"/>
        <w:spacing w:before="0" w:after="120"/>
        <w:ind w:firstLine="709"/>
        <w:rPr/>
      </w:pPr>
      <w:r>
        <w:rPr/>
        <w:t>Platformun sermayesinde %5 ve üzeri pay sahipliği bulunan gerçek ve tüzel kişiler hakkında açıklamalara yer verilecek olup, varsa bu kişiler arasındaki ilişkinin mahiyeti de belirtilecektir.</w:t>
      </w:r>
    </w:p>
    <w:p>
      <w:pPr>
        <w:pStyle w:val="Normal"/>
        <w:spacing w:before="0" w:after="120"/>
        <w:ind w:firstLine="709"/>
        <w:rPr/>
      </w:pPr>
      <w:r>
        <w:rPr/>
      </w:r>
    </w:p>
    <w:p>
      <w:pPr>
        <w:pStyle w:val="ListParagraph"/>
        <w:numPr>
          <w:ilvl w:val="0"/>
          <w:numId w:val="10"/>
        </w:numPr>
        <w:spacing w:before="0" w:after="120"/>
        <w:ind w:left="709" w:hanging="709"/>
        <w:outlineLvl w:val="1"/>
        <w:rPr>
          <w:rFonts w:ascii="Times New Roman" w:hAnsi="Times New Roman"/>
          <w:b/>
          <w:b/>
          <w:szCs w:val="24"/>
          <w:lang w:val="tr-TR"/>
        </w:rPr>
      </w:pPr>
      <w:r>
        <w:rPr>
          <w:rFonts w:ascii="Times New Roman" w:hAnsi="Times New Roman"/>
          <w:b/>
          <w:szCs w:val="24"/>
          <w:lang w:val="tr-TR"/>
        </w:rPr>
        <w:t>Yönetim Kurulu Üyeleri</w:t>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0"/>
        <w:gridCol w:w="1842"/>
        <w:gridCol w:w="1215"/>
        <w:gridCol w:w="1620"/>
        <w:gridCol w:w="1560"/>
        <w:gridCol w:w="864"/>
      </w:tblGrid>
      <w:tr>
        <w:trPr>
          <w:trHeight w:val="397" w:hRule="atLeast"/>
        </w:trPr>
        <w:tc>
          <w:tcPr>
            <w:tcW w:w="9071" w:type="dxa"/>
            <w:gridSpan w:val="6"/>
            <w:tcBorders>
              <w:top w:val="single" w:sz="4" w:space="0" w:color="000000"/>
              <w:left w:val="single" w:sz="4" w:space="0" w:color="000000"/>
              <w:bottom w:val="single" w:sz="4"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Platform’un Yönetim Kurulu Üyeleri</w:t>
            </w:r>
          </w:p>
        </w:tc>
      </w:tr>
      <w:tr>
        <w:trPr>
          <w:trHeight w:val="340" w:hRule="atLeast"/>
        </w:trPr>
        <w:tc>
          <w:tcPr>
            <w:tcW w:w="1970"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t>Adı-Soyadı /</w:t>
            </w:r>
          </w:p>
          <w:p>
            <w:pPr>
              <w:pStyle w:val="Normal"/>
              <w:widowControl w:val="false"/>
              <w:ind w:right="-468" w:hanging="0"/>
              <w:rPr>
                <w:b/>
                <w:b/>
              </w:rPr>
            </w:pPr>
            <w:r>
              <w:rPr>
                <w:b/>
              </w:rPr>
              <w:t>Ticaret Unvanı</w:t>
            </w:r>
          </w:p>
        </w:tc>
        <w:tc>
          <w:tcPr>
            <w:tcW w:w="1842"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Görevi/Unvanı</w:t>
            </w:r>
          </w:p>
        </w:tc>
        <w:tc>
          <w:tcPr>
            <w:tcW w:w="1215"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Atanma Tarihi</w:t>
            </w:r>
          </w:p>
        </w:tc>
        <w:tc>
          <w:tcPr>
            <w:tcW w:w="1620"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Kalan Görev Süresi</w:t>
            </w:r>
          </w:p>
        </w:tc>
        <w:tc>
          <w:tcPr>
            <w:tcW w:w="2424" w:type="dxa"/>
            <w:gridSpan w:val="2"/>
            <w:tcBorders>
              <w:top w:val="single" w:sz="4" w:space="0" w:color="000000"/>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Sermayedeki Payı</w:t>
            </w:r>
          </w:p>
        </w:tc>
      </w:tr>
      <w:tr>
        <w:trPr>
          <w:trHeight w:val="340" w:hRule="atLeast"/>
        </w:trPr>
        <w:tc>
          <w:tcPr>
            <w:tcW w:w="19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r>
          </w:p>
        </w:tc>
        <w:tc>
          <w:tcPr>
            <w:tcW w:w="1842"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34" w:hanging="0"/>
              <w:jc w:val="center"/>
              <w:rPr>
                <w:b/>
                <w:b/>
              </w:rPr>
            </w:pPr>
            <w:r>
              <w:rPr>
                <w:b/>
              </w:rPr>
            </w:r>
          </w:p>
        </w:tc>
        <w:tc>
          <w:tcPr>
            <w:tcW w:w="1215"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r>
          </w:p>
        </w:tc>
        <w:tc>
          <w:tcPr>
            <w:tcW w:w="1620" w:type="dxa"/>
            <w:vMerge w:val="continue"/>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r>
          </w:p>
        </w:tc>
        <w:tc>
          <w:tcPr>
            <w:tcW w:w="1560" w:type="dxa"/>
            <w:tcBorders>
              <w:top w:val="single" w:sz="8" w:space="0" w:color="000000"/>
              <w:left w:val="single" w:sz="8"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t>(TL)</w:t>
            </w:r>
          </w:p>
        </w:tc>
        <w:tc>
          <w:tcPr>
            <w:tcW w:w="864" w:type="dxa"/>
            <w:tcBorders>
              <w:top w:val="single" w:sz="8" w:space="0" w:color="000000"/>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t>(%)</w:t>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121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c>
          <w:tcPr>
            <w:tcW w:w="1620"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1560"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864"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121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620"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56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864"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bl>
    <w:p>
      <w:pPr>
        <w:pStyle w:val="Normal"/>
        <w:spacing w:before="0" w:after="120"/>
        <w:ind w:firstLine="709"/>
        <w:rPr/>
      </w:pPr>
      <w:r>
        <w:rPr/>
      </w:r>
    </w:p>
    <w:p>
      <w:pPr>
        <w:pStyle w:val="Normal"/>
        <w:spacing w:before="0" w:after="120"/>
        <w:ind w:firstLine="709"/>
        <w:rPr/>
      </w:pPr>
      <w:r>
        <w:rPr/>
        <w:t>Yönetim kurulu üyeleri arasında bir tüzel kişinin bulunması durumunda, 6102 sayılı Türk Ticaret Kanunu uyarınca tüzel kişi adına tescil edilen gerçek kişi hakkında bilgiye de tablonun altında yer verilecektir.</w:t>
      </w:r>
    </w:p>
    <w:p>
      <w:pPr>
        <w:pStyle w:val="Normal"/>
        <w:spacing w:before="0" w:after="120"/>
        <w:ind w:firstLine="709"/>
        <w:rPr/>
      </w:pPr>
      <w:r>
        <w:rPr/>
      </w:r>
    </w:p>
    <w:p>
      <w:pPr>
        <w:pStyle w:val="ListParagraph"/>
        <w:numPr>
          <w:ilvl w:val="0"/>
          <w:numId w:val="10"/>
        </w:numPr>
        <w:spacing w:before="0" w:after="120"/>
        <w:ind w:left="709" w:hanging="709"/>
        <w:outlineLvl w:val="1"/>
        <w:rPr>
          <w:rFonts w:ascii="Times New Roman" w:hAnsi="Times New Roman"/>
          <w:b/>
          <w:b/>
          <w:szCs w:val="24"/>
          <w:lang w:val="tr-TR"/>
        </w:rPr>
      </w:pPr>
      <w:r>
        <w:rPr>
          <w:rFonts w:ascii="Times New Roman" w:hAnsi="Times New Roman"/>
          <w:b/>
          <w:szCs w:val="24"/>
          <w:lang w:val="tr-TR"/>
        </w:rPr>
        <w:t>Yatırım Komitesi</w:t>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0"/>
        <w:gridCol w:w="1842"/>
        <w:gridCol w:w="2835"/>
        <w:gridCol w:w="1560"/>
        <w:gridCol w:w="865"/>
      </w:tblGrid>
      <w:tr>
        <w:trPr>
          <w:trHeight w:val="397" w:hRule="atLeast"/>
        </w:trPr>
        <w:tc>
          <w:tcPr>
            <w:tcW w:w="9072" w:type="dxa"/>
            <w:gridSpan w:val="5"/>
            <w:tcBorders>
              <w:top w:val="single" w:sz="4" w:space="0" w:color="000000"/>
              <w:left w:val="single" w:sz="4" w:space="0" w:color="000000"/>
              <w:bottom w:val="single" w:sz="8"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Yatırım Komitesi Üyeleri</w:t>
            </w:r>
          </w:p>
        </w:tc>
      </w:tr>
      <w:tr>
        <w:trPr>
          <w:trHeight w:val="340" w:hRule="atLeast"/>
        </w:trPr>
        <w:tc>
          <w:tcPr>
            <w:tcW w:w="1970"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t>Adı-Soyadı</w:t>
            </w:r>
          </w:p>
        </w:tc>
        <w:tc>
          <w:tcPr>
            <w:tcW w:w="1842"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Görevi/Unvanı</w:t>
            </w:r>
          </w:p>
        </w:tc>
        <w:tc>
          <w:tcPr>
            <w:tcW w:w="2835"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Uzmanlık Alanı ve Profesyonel Tecrübesi</w:t>
            </w:r>
          </w:p>
        </w:tc>
        <w:tc>
          <w:tcPr>
            <w:tcW w:w="2425" w:type="dxa"/>
            <w:gridSpan w:val="2"/>
            <w:tcBorders>
              <w:top w:val="single" w:sz="4" w:space="0" w:color="000000"/>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Sermayedeki Payı</w:t>
            </w:r>
          </w:p>
        </w:tc>
      </w:tr>
      <w:tr>
        <w:trPr>
          <w:trHeight w:val="340" w:hRule="atLeast"/>
        </w:trPr>
        <w:tc>
          <w:tcPr>
            <w:tcW w:w="19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r>
          </w:p>
        </w:tc>
        <w:tc>
          <w:tcPr>
            <w:tcW w:w="1842"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34" w:hanging="0"/>
              <w:jc w:val="center"/>
              <w:rPr>
                <w:b/>
                <w:b/>
              </w:rPr>
            </w:pPr>
            <w:r>
              <w:rPr>
                <w:b/>
              </w:rPr>
            </w:r>
          </w:p>
        </w:tc>
        <w:tc>
          <w:tcPr>
            <w:tcW w:w="2835" w:type="dxa"/>
            <w:vMerge w:val="continue"/>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r>
          </w:p>
        </w:tc>
        <w:tc>
          <w:tcPr>
            <w:tcW w:w="1560" w:type="dxa"/>
            <w:tcBorders>
              <w:top w:val="single" w:sz="8" w:space="0" w:color="000000"/>
              <w:left w:val="single" w:sz="8"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t>(TL)</w:t>
            </w:r>
          </w:p>
        </w:tc>
        <w:tc>
          <w:tcPr>
            <w:tcW w:w="865" w:type="dxa"/>
            <w:tcBorders>
              <w:top w:val="single" w:sz="8" w:space="0" w:color="000000"/>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t>(%)</w:t>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2835"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1560"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86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283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56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86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bl>
    <w:p>
      <w:pPr>
        <w:pStyle w:val="Normal"/>
        <w:spacing w:before="0" w:after="120"/>
        <w:ind w:firstLine="709"/>
        <w:rPr/>
      </w:pPr>
      <w:r>
        <w:rPr/>
      </w:r>
    </w:p>
    <w:p>
      <w:pPr>
        <w:pStyle w:val="Normal"/>
        <w:spacing w:before="0" w:after="120"/>
        <w:ind w:firstLine="709"/>
        <w:rPr/>
      </w:pPr>
      <w:r>
        <w:rPr/>
        <w:t>Yatırım komitesi üyelerinin her birinin, Tebliğ’in 9 uncu maddesinde düzenlenen şartlardan hangilerini sağladıkları hakkında bilgi verilerek, kitle fonlaması işlemlerinde sahip oldukları deneyimleri ve uzmanlık alanları hakkında açıklamalarda bulunulacaktır.</w:t>
      </w:r>
    </w:p>
    <w:p>
      <w:pPr>
        <w:pStyle w:val="Normal"/>
        <w:spacing w:before="0" w:after="120"/>
        <w:ind w:firstLine="709"/>
        <w:rPr/>
      </w:pPr>
      <w:r>
        <w:rPr/>
        <w:t>Ayrıca, varsa Tebliğ’in 9 uncu maddesinin yedinci fıkrasına tabi olan yatırım komitesi üyelerinin oy kullanamama gerekçeleri hakkında bilgi verilecektir.</w:t>
      </w:r>
    </w:p>
    <w:p>
      <w:pPr>
        <w:pStyle w:val="Normal"/>
        <w:spacing w:before="0" w:after="120"/>
        <w:ind w:firstLine="709"/>
        <w:rPr/>
      </w:pPr>
      <w:r>
        <w:rPr/>
      </w:r>
    </w:p>
    <w:p>
      <w:pPr>
        <w:pStyle w:val="ListParagraph"/>
        <w:numPr>
          <w:ilvl w:val="0"/>
          <w:numId w:val="10"/>
        </w:numPr>
        <w:spacing w:before="0" w:after="120"/>
        <w:ind w:left="709" w:hanging="709"/>
        <w:outlineLvl w:val="1"/>
        <w:rPr>
          <w:rFonts w:ascii="Times New Roman" w:hAnsi="Times New Roman"/>
          <w:b/>
          <w:b/>
          <w:szCs w:val="24"/>
          <w:lang w:val="tr-TR"/>
        </w:rPr>
      </w:pPr>
      <w:r>
        <w:rPr>
          <w:rFonts w:ascii="Times New Roman" w:hAnsi="Times New Roman"/>
          <w:b/>
          <w:szCs w:val="24"/>
          <w:lang w:val="tr-TR"/>
        </w:rPr>
        <w:t>İnceleme Sonuçları</w:t>
      </w:r>
    </w:p>
    <w:p>
      <w:pPr>
        <w:pStyle w:val="Normal"/>
        <w:spacing w:before="0" w:after="120"/>
        <w:ind w:firstLine="709"/>
        <w:rPr/>
      </w:pPr>
      <w:r>
        <w:rPr/>
        <w:t xml:space="preserve">Kampanya hakkında ön inceleme ve değerlendirmelerin yer aldığı Tebliğ’in 11 inci maddesinin altıncı fıkrası gereği hazırlanan raporun özetine yer verilecektir. Varsa ilave riskler başta olmak üzere yatırım kararı verilmesinde dikkate alınması gereken hususlar hakkında açıklama yapılacaktır. </w:t>
      </w:r>
    </w:p>
    <w:p>
      <w:pPr>
        <w:pStyle w:val="Normal"/>
        <w:spacing w:before="0" w:after="120"/>
        <w:ind w:firstLine="709"/>
        <w:rPr/>
      </w:pPr>
      <w:r>
        <w:rPr/>
        <w:t>Ek olarak, yatırım komitesinin kampanyaya ilişkin raporunda varsa şart oluşturan hususlar ile Tebliğ’in 9 uncu maddesinin sekizinci fıkrası çerçevesinde yatırım komitesi üyelerinden herhangi birinin kampanyanın platformda yayımlanma kararına karşı şerh koyması halinde, bu şerhe ve şerhin gerekçesine ilişkin açıklama yapılacaktır.</w:t>
      </w:r>
    </w:p>
    <w:p>
      <w:pPr>
        <w:pStyle w:val="Normal"/>
        <w:spacing w:before="0" w:after="120"/>
        <w:ind w:firstLine="709"/>
        <w:rPr/>
      </w:pPr>
      <w:r>
        <w:rPr/>
      </w:r>
    </w:p>
    <w:p>
      <w:pPr>
        <w:pStyle w:val="ListParagraph"/>
        <w:numPr>
          <w:ilvl w:val="0"/>
          <w:numId w:val="10"/>
        </w:numPr>
        <w:spacing w:before="0" w:after="120"/>
        <w:ind w:left="709" w:hanging="709"/>
        <w:outlineLvl w:val="1"/>
        <w:rPr>
          <w:rFonts w:ascii="Times New Roman" w:hAnsi="Times New Roman"/>
          <w:b/>
          <w:b/>
          <w:szCs w:val="24"/>
          <w:lang w:val="tr-TR"/>
        </w:rPr>
      </w:pPr>
      <w:r>
        <w:rPr>
          <w:rFonts w:ascii="Times New Roman" w:hAnsi="Times New Roman"/>
          <w:b/>
          <w:szCs w:val="24"/>
          <w:lang w:val="tr-TR"/>
        </w:rPr>
        <w:t>Değerlendirme Politikası</w:t>
      </w:r>
    </w:p>
    <w:p>
      <w:pPr>
        <w:pStyle w:val="Normal"/>
        <w:spacing w:before="0" w:after="120"/>
        <w:ind w:firstLine="709"/>
        <w:rPr/>
      </w:pPr>
      <w:r>
        <w:rPr/>
        <w:t>Tebliğ’in 9 uncu maddesinin beşinci fıkrası gereği hazırlanan değerlendirme politikasının özetine, bu politikanın kabulüne ilişkin platform yönetim kurulu kararının tarih ve sayısına ve tam politika metninin erişim linkine yer verilecektir.</w:t>
      </w:r>
    </w:p>
    <w:p>
      <w:pPr>
        <w:pStyle w:val="Normal"/>
        <w:spacing w:before="0" w:after="120"/>
        <w:ind w:firstLine="709"/>
        <w:rPr/>
      </w:pPr>
      <w:r>
        <w:rPr/>
      </w:r>
    </w:p>
    <w:p>
      <w:pPr>
        <w:pStyle w:val="ListParagraph"/>
        <w:numPr>
          <w:ilvl w:val="0"/>
          <w:numId w:val="10"/>
        </w:numPr>
        <w:spacing w:before="0" w:after="120"/>
        <w:ind w:left="709" w:hanging="709"/>
        <w:outlineLvl w:val="1"/>
        <w:rPr>
          <w:rFonts w:ascii="Times New Roman" w:hAnsi="Times New Roman"/>
          <w:b/>
          <w:b/>
          <w:szCs w:val="24"/>
          <w:lang w:val="tr-TR"/>
        </w:rPr>
      </w:pPr>
      <w:r>
        <w:rPr>
          <w:rFonts w:ascii="Times New Roman" w:hAnsi="Times New Roman"/>
          <w:b/>
          <w:szCs w:val="24"/>
          <w:lang w:val="tr-TR"/>
        </w:rPr>
        <w:t>Çıkar Çatışması Politikası ve Beyanı</w:t>
      </w:r>
    </w:p>
    <w:p>
      <w:pPr>
        <w:pStyle w:val="Normal"/>
        <w:spacing w:before="0" w:after="120"/>
        <w:ind w:firstLine="709"/>
        <w:rPr/>
      </w:pPr>
      <w:r>
        <w:rPr/>
        <w:t>Girişim şirketi ve ilişkili tarafları ile platform ve ilişkili tarafları arasında doğrudan veya dolaylı olarak herhangi bir ilişkinin bulunup bulunmadığı hakkında beyana ve varsa ilişkinin mahiyeti ile platformun doğrudan veya dolaylı olarak elde edeceği menfaatler hakkında bilgiye yer verilecektir.</w:t>
      </w:r>
    </w:p>
    <w:p>
      <w:pPr>
        <w:pStyle w:val="Normal"/>
        <w:spacing w:before="0" w:after="120"/>
        <w:ind w:firstLine="709"/>
        <w:rPr/>
      </w:pPr>
      <w:r>
        <w:rPr/>
        <w:t>Ayrıca, çıkar çatışması politikasının özetine, bu politikanın kabulüne ilişkin platform yönetim kurulu kararının tarih ve sayısına ve tam politika metninin erişim linkine yer verilecektir.</w:t>
      </w:r>
    </w:p>
    <w:p>
      <w:pPr>
        <w:pStyle w:val="Normal"/>
        <w:spacing w:before="0" w:after="120"/>
        <w:ind w:firstLine="709"/>
        <w:rPr/>
      </w:pPr>
      <w:r>
        <w:rPr/>
      </w:r>
    </w:p>
    <w:p>
      <w:pPr>
        <w:pStyle w:val="ListParagraph"/>
        <w:numPr>
          <w:ilvl w:val="0"/>
          <w:numId w:val="10"/>
        </w:numPr>
        <w:spacing w:before="0" w:after="120"/>
        <w:ind w:left="709" w:hanging="709"/>
        <w:outlineLvl w:val="1"/>
        <w:rPr>
          <w:rFonts w:ascii="Times New Roman" w:hAnsi="Times New Roman"/>
          <w:b/>
          <w:b/>
          <w:szCs w:val="24"/>
          <w:lang w:val="tr-TR"/>
        </w:rPr>
      </w:pPr>
      <w:r>
        <w:rPr>
          <w:rFonts w:ascii="Times New Roman" w:hAnsi="Times New Roman"/>
          <w:b/>
          <w:szCs w:val="24"/>
          <w:lang w:val="tr-TR"/>
        </w:rPr>
        <w:t>Kurulca Alınan Yaptırım ve Tedbir Kararları</w:t>
      </w:r>
    </w:p>
    <w:p>
      <w:pPr>
        <w:pStyle w:val="Normal"/>
        <w:spacing w:before="0" w:after="120"/>
        <w:ind w:firstLine="709"/>
        <w:rPr/>
      </w:pPr>
      <w:r>
        <w:rPr/>
        <w:t>Kurulca platforma daha önce verilen uyarı, idari para cezası, faaliyetlerin geçici durdurulması, listeden çıkarma gibi idari yaptırım kararları hakkında, ilgili Kurul Karar veya işlem tarihi belirtilmek suretiyle gerekçeli bilgi verilecektir.</w:t>
      </w:r>
    </w:p>
    <w:p>
      <w:pPr>
        <w:pStyle w:val="Normal"/>
        <w:spacing w:before="0" w:after="120"/>
        <w:ind w:firstLine="709"/>
        <w:rPr>
          <w:lang w:eastAsia="tr-TR"/>
        </w:rPr>
      </w:pPr>
      <w:r>
        <w:rPr>
          <w:lang w:eastAsia="tr-TR"/>
        </w:rPr>
        <w:t>Ayrıca, platformun hukuka aykırı faaliyet ve işlemlerinin tespiti nedeniyle daha önce Kurulca uygulanan tedbirler de bu kısımda açıklanacaktır.</w:t>
      </w:r>
    </w:p>
    <w:p>
      <w:pPr>
        <w:pStyle w:val="Normal"/>
        <w:spacing w:before="0" w:after="120"/>
        <w:ind w:firstLine="709"/>
        <w:rPr/>
      </w:pPr>
      <w:r>
        <w:rPr>
          <w:lang w:eastAsia="tr-TR"/>
        </w:rPr>
        <w:t>Katılım bankaları ve geniş yetkili aracı kurumlar bakımından yalnızca kitle fonlaması platformu sıfatıyla yapılan işlemlere istinaden Kurulca alınan yaptırım ve tedbir kararlarının açıklanması yeterlidir.</w:t>
      </w:r>
    </w:p>
    <w:p>
      <w:pPr>
        <w:pStyle w:val="Normal"/>
        <w:spacing w:before="0" w:after="120"/>
        <w:ind w:firstLine="709"/>
        <w:rPr/>
      </w:pPr>
      <w:r>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EKLER</w:t>
      </w:r>
    </w:p>
    <w:p>
      <w:pPr>
        <w:pStyle w:val="Normal"/>
        <w:spacing w:before="0" w:after="120"/>
        <w:ind w:firstLine="709"/>
        <w:rPr/>
      </w:pPr>
      <w:r>
        <w:rPr/>
        <w:t>Asgari olarak aşağıdaki belgelerin bilgi formuna ek verilmesi gerekmektedir:</w:t>
      </w:r>
    </w:p>
    <w:p>
      <w:pPr>
        <w:pStyle w:val="ListParagraph"/>
        <w:numPr>
          <w:ilvl w:val="0"/>
          <w:numId w:val="12"/>
        </w:numPr>
        <w:spacing w:before="0" w:after="120"/>
        <w:ind w:left="1134" w:hanging="425"/>
        <w:rPr>
          <w:rFonts w:ascii="Times New Roman" w:hAnsi="Times New Roman"/>
          <w:szCs w:val="24"/>
          <w:lang w:val="tr-TR"/>
        </w:rPr>
      </w:pPr>
      <w:r>
        <w:rPr>
          <w:rFonts w:ascii="Times New Roman" w:hAnsi="Times New Roman"/>
          <w:szCs w:val="24"/>
          <w:lang w:val="tr-TR"/>
        </w:rPr>
        <w:t>Girişim şirketinin esas sözleşmesi</w:t>
      </w:r>
    </w:p>
    <w:p>
      <w:pPr>
        <w:pStyle w:val="ListParagraph"/>
        <w:numPr>
          <w:ilvl w:val="0"/>
          <w:numId w:val="12"/>
        </w:numPr>
        <w:spacing w:before="0" w:after="120"/>
        <w:ind w:left="1134" w:hanging="425"/>
        <w:rPr>
          <w:rFonts w:ascii="Times New Roman" w:hAnsi="Times New Roman"/>
          <w:szCs w:val="24"/>
          <w:lang w:val="tr-TR"/>
        </w:rPr>
      </w:pPr>
      <w:r>
        <w:rPr>
          <w:rFonts w:ascii="Times New Roman" w:hAnsi="Times New Roman"/>
          <w:szCs w:val="24"/>
          <w:lang w:val="tr-TR"/>
        </w:rPr>
        <w:t>Girişim şirketine ait finansal raporlar</w:t>
      </w:r>
    </w:p>
    <w:p>
      <w:pPr>
        <w:pStyle w:val="ListParagraph"/>
        <w:numPr>
          <w:ilvl w:val="0"/>
          <w:numId w:val="12"/>
        </w:numPr>
        <w:spacing w:before="0" w:after="120"/>
        <w:ind w:left="1134" w:hanging="425"/>
        <w:rPr>
          <w:rFonts w:ascii="Times New Roman" w:hAnsi="Times New Roman"/>
          <w:szCs w:val="24"/>
          <w:lang w:val="tr-TR"/>
        </w:rPr>
      </w:pPr>
      <w:r>
        <w:rPr>
          <w:rFonts w:ascii="Times New Roman" w:hAnsi="Times New Roman"/>
          <w:szCs w:val="24"/>
          <w:lang w:val="tr-TR"/>
        </w:rPr>
        <w:t>Tebliğ’in 20 nci maddesinin birinci fıkrası gereği hazırlanan fon kullanım raporu</w:t>
      </w:r>
    </w:p>
    <w:p>
      <w:pPr>
        <w:pStyle w:val="ListParagraph"/>
        <w:numPr>
          <w:ilvl w:val="0"/>
          <w:numId w:val="12"/>
        </w:numPr>
        <w:spacing w:before="0" w:after="120"/>
        <w:ind w:left="1134" w:hanging="425"/>
        <w:rPr>
          <w:rFonts w:ascii="Times New Roman" w:hAnsi="Times New Roman"/>
          <w:szCs w:val="24"/>
          <w:lang w:val="tr-TR"/>
        </w:rPr>
      </w:pPr>
      <w:r>
        <w:rPr>
          <w:rFonts w:ascii="Times New Roman" w:hAnsi="Times New Roman"/>
          <w:szCs w:val="24"/>
          <w:lang w:val="tr-TR"/>
        </w:rPr>
        <w:t>Varsa pay satış fiyatının tespiti amacıyla hazırlanan raporlar</w:t>
      </w:r>
    </w:p>
    <w:sectPr>
      <w:footerReference w:type="default" r:id="rId2"/>
      <w:footnotePr>
        <w:numFmt w:val="decimal"/>
      </w:footnotePr>
      <w:type w:val="nextPage"/>
      <w:pgSz w:w="11906" w:h="16838"/>
      <w:pgMar w:left="1417" w:right="1417" w:header="0" w:top="1417" w:footer="709" w:bottom="141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Calibri Light">
    <w:charset w:val="a2"/>
    <w:family w:val="roman"/>
    <w:pitch w:val="variable"/>
  </w:font>
  <w:font w:name="Segoe UI">
    <w:charset w:val="a2"/>
    <w:family w:val="roman"/>
    <w:pitch w:val="variable"/>
  </w:font>
  <w:font w:name="Liberation Sans">
    <w:altName w:val="Arial"/>
    <w:charset w:val="a2"/>
    <w:family w:val="swiss"/>
    <w:pitch w:val="variable"/>
  </w:font>
  <w:font w:name="Arial">
    <w:charset w:val="a2"/>
    <w:family w:val="roman"/>
    <w:pitch w:val="variable"/>
  </w:font>
  <w:font w:name="Symbol">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8610430"/>
    </w:sdtPr>
    <w:sdtContent>
      <w:p>
        <w:pPr>
          <w:pStyle w:val="Altbilgi"/>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14</w:t>
        </w:r>
        <w:r>
          <w:rPr>
            <w:sz w:val="20"/>
            <w:szCs w:val="20"/>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Dipnot"/>
        <w:spacing w:before="60" w:after="60"/>
        <w:ind w:left="284" w:hanging="284"/>
        <w:rPr/>
      </w:pPr>
      <w:r>
        <w:rPr>
          <w:rStyle w:val="DipnotKarakterleri"/>
        </w:rPr>
        <w:footnoteRef/>
      </w:r>
      <w:r>
        <w:rPr/>
        <w:tab/>
        <w:t>[Köşeli Parantez] içerisinde yapılan atıflar, karşılığı olan ticaret unvanı ile değiştirilecektir.</w:t>
      </w:r>
    </w:p>
  </w:footnote>
  <w:footnote w:id="3">
    <w:p>
      <w:pPr>
        <w:pStyle w:val="Dipnot"/>
        <w:spacing w:before="60" w:after="60"/>
        <w:ind w:left="284" w:hanging="284"/>
        <w:rPr/>
      </w:pPr>
      <w:r>
        <w:rPr>
          <w:rStyle w:val="DipnotKarakterleri"/>
        </w:rPr>
        <w:footnoteRef/>
      </w:r>
      <w:r>
        <w:rPr/>
        <w:tab/>
        <w:t xml:space="preserve">(Parantez) içi ifade, Tebliğ’in 16 ncı maddesinin yedinci fıkrası uyarınca ek fon toplanacak olması halinde korunacak; aksi halde silinecektir. </w:t>
      </w:r>
    </w:p>
  </w:footnote>
  <w:footnote w:id="4">
    <w:p>
      <w:pPr>
        <w:pStyle w:val="Dipnot"/>
        <w:widowControl w:val="false"/>
        <w:rPr>
          <w:lang w:val="en-US"/>
        </w:rPr>
      </w:pPr>
      <w:r>
        <w:rPr>
          <w:rStyle w:val="DipnotKarakterleri"/>
        </w:rPr>
        <w:footnoteRef/>
      </w:r>
      <w:r>
        <w:rPr/>
        <w:t xml:space="preserve"> </w:t>
      </w:r>
      <w:r>
        <w:rPr/>
        <w:t>Satış fiyatının hesaplanmasına ilişkin yöntem ve varsa değerleme raporuna ilişkin bilgiye 5.1.2 nolu başlıkta yer verilecektir.</w:t>
      </w:r>
    </w:p>
  </w:footnote>
  <w:footnote w:id="5">
    <w:p>
      <w:pPr>
        <w:pStyle w:val="Dipnot"/>
        <w:spacing w:before="60" w:after="60"/>
        <w:ind w:left="284" w:hanging="284"/>
        <w:rPr/>
      </w:pPr>
      <w:r>
        <w:rPr>
          <w:rStyle w:val="DipnotKarakterleri"/>
        </w:rPr>
        <w:footnoteRef/>
      </w:r>
      <w:r>
        <w:rPr/>
        <w:tab/>
        <w:t>İş modeli kanvası hazırlanması veya iş modeli kanvasında yer alan ana başlıklar detayında bilgi verilmesi gerekmektedir.</w:t>
      </w:r>
    </w:p>
  </w:footnote>
  <w:footnote w:id="6">
    <w:p>
      <w:pPr>
        <w:pStyle w:val="Dipnot"/>
        <w:spacing w:before="60" w:after="60"/>
        <w:ind w:left="284" w:hanging="284"/>
        <w:rPr/>
      </w:pPr>
      <w:r>
        <w:rPr>
          <w:rStyle w:val="DipnotKarakterleri"/>
        </w:rPr>
        <w:footnoteRef/>
      </w:r>
      <w:r>
        <w:rPr/>
        <w:tab/>
        <w:t>Cümle, verilen içeriğe uygun şekilde dizayn edilerek korunacaktır.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2.4.%1."/>
      <w:lvlJc w:val="left"/>
      <w:pPr>
        <w:tabs>
          <w:tab w:val="num" w:pos="0"/>
        </w:tabs>
        <w:ind w:left="360" w:hanging="360"/>
      </w:pPr>
    </w:lvl>
    <w:lvl w:ilvl="1">
      <w:start w:val="1"/>
      <w:numFmt w:val="decimal"/>
      <w:lvlText w:val="%1.%2."/>
      <w:lvlJc w:val="left"/>
      <w:pPr>
        <w:tabs>
          <w:tab w:val="num" w:pos="0"/>
        </w:tabs>
        <w:ind w:left="792" w:hanging="432"/>
      </w:pPr>
    </w:lvl>
    <w:lvl w:ilvl="2">
      <w:start w:val="1"/>
      <w:numFmt w:val="none"/>
      <w:suff w:val="nothing"/>
      <w:lvlText w:val=""/>
      <w:lvlJc w:val="left"/>
      <w:pPr>
        <w:tabs>
          <w:tab w:val="num" w:pos="0"/>
        </w:tabs>
        <w:ind w:left="1224" w:hanging="515"/>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2.5.%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3.4.%1."/>
      <w:lvlJc w:val="left"/>
      <w:pPr>
        <w:tabs>
          <w:tab w:val="num" w:pos="0"/>
        </w:tabs>
        <w:ind w:left="142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5.%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5.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6.%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5.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lvl w:ilvl="0">
      <w:start w:val="1"/>
      <w:numFmt w:val="decimal"/>
      <w:lvlText w:val="2.6.%1."/>
      <w:lvlJc w:val="left"/>
      <w:pPr>
        <w:tabs>
          <w:tab w:val="num" w:pos="0"/>
        </w:tabs>
        <w:ind w:left="142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66e4"/>
    <w:pPr>
      <w:widowControl/>
      <w:bidi w:val="0"/>
      <w:spacing w:lineRule="auto" w:line="240" w:before="0" w:after="0"/>
      <w:jc w:val="both"/>
    </w:pPr>
    <w:rPr>
      <w:rFonts w:eastAsia="Times New Roman" w:cs="Times New Roman" w:ascii="Times New Roman" w:hAnsi="Times New Roman"/>
      <w:color w:val="auto"/>
      <w:kern w:val="0"/>
      <w:sz w:val="24"/>
      <w:szCs w:val="24"/>
      <w:lang w:eastAsia="ar-SA" w:val="tr-TR" w:bidi="ar-SA"/>
    </w:rPr>
  </w:style>
  <w:style w:type="paragraph" w:styleId="Balk1">
    <w:name w:val="Heading 1"/>
    <w:basedOn w:val="Normal"/>
    <w:next w:val="Normal"/>
    <w:link w:val="Heading1Char"/>
    <w:uiPriority w:val="9"/>
    <w:qFormat/>
    <w:rsid w:val="008c1383"/>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02840"/>
    <w:rPr>
      <w:sz w:val="16"/>
      <w:szCs w:val="16"/>
    </w:rPr>
  </w:style>
  <w:style w:type="character" w:styleId="CommentTextChar" w:customStyle="1">
    <w:name w:val="Comment Text Char"/>
    <w:basedOn w:val="DefaultParagraphFont"/>
    <w:link w:val="CommentText"/>
    <w:uiPriority w:val="99"/>
    <w:semiHidden/>
    <w:qFormat/>
    <w:rsid w:val="00c02840"/>
    <w:rPr>
      <w:rFonts w:eastAsia="Times New Roman" w:cs="Times New Roman"/>
      <w:sz w:val="20"/>
      <w:szCs w:val="20"/>
      <w:lang w:eastAsia="ar-SA"/>
    </w:rPr>
  </w:style>
  <w:style w:type="character" w:styleId="CommentSubjectChar" w:customStyle="1">
    <w:name w:val="Comment Subject Char"/>
    <w:basedOn w:val="CommentTextChar"/>
    <w:link w:val="CommentSubject"/>
    <w:uiPriority w:val="99"/>
    <w:semiHidden/>
    <w:qFormat/>
    <w:rsid w:val="00c02840"/>
    <w:rPr>
      <w:rFonts w:eastAsia="Times New Roman" w:cs="Times New Roman"/>
      <w:b/>
      <w:bCs/>
      <w:sz w:val="20"/>
      <w:szCs w:val="20"/>
      <w:lang w:eastAsia="ar-SA"/>
    </w:rPr>
  </w:style>
  <w:style w:type="character" w:styleId="BalloonTextChar" w:customStyle="1">
    <w:name w:val="Balloon Text Char"/>
    <w:basedOn w:val="DefaultParagraphFont"/>
    <w:link w:val="BalloonText"/>
    <w:uiPriority w:val="99"/>
    <w:semiHidden/>
    <w:qFormat/>
    <w:rsid w:val="00c02840"/>
    <w:rPr>
      <w:rFonts w:ascii="Segoe UI" w:hAnsi="Segoe UI" w:eastAsia="Times New Roman" w:cs="Segoe UI"/>
      <w:sz w:val="18"/>
      <w:szCs w:val="18"/>
      <w:lang w:eastAsia="ar-SA"/>
    </w:rPr>
  </w:style>
  <w:style w:type="character" w:styleId="Heading1Char" w:customStyle="1">
    <w:name w:val="Heading 1 Char"/>
    <w:basedOn w:val="DefaultParagraphFont"/>
    <w:link w:val="Heading1"/>
    <w:uiPriority w:val="9"/>
    <w:qFormat/>
    <w:rsid w:val="008c1383"/>
    <w:rPr>
      <w:rFonts w:ascii="Calibri Light" w:hAnsi="Calibri Light" w:eastAsia="" w:cs="" w:asciiTheme="majorHAnsi" w:cstheme="majorBidi" w:eastAsiaTheme="majorEastAsia" w:hAnsiTheme="majorHAnsi"/>
      <w:color w:val="2E74B5" w:themeColor="accent1" w:themeShade="bf"/>
      <w:sz w:val="32"/>
      <w:szCs w:val="32"/>
      <w:lang w:eastAsia="ar-SA"/>
    </w:rPr>
  </w:style>
  <w:style w:type="character" w:styleId="FootnoteTextChar" w:customStyle="1">
    <w:name w:val="Footnote Text Char"/>
    <w:basedOn w:val="DefaultParagraphFont"/>
    <w:link w:val="FootnoteText"/>
    <w:semiHidden/>
    <w:qFormat/>
    <w:rsid w:val="00e8306c"/>
    <w:rPr>
      <w:rFonts w:eastAsia="Times New Roman" w:cs="Times New Roman"/>
      <w:sz w:val="20"/>
      <w:szCs w:val="20"/>
      <w:lang w:eastAsia="ar-SA"/>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e8306c"/>
    <w:rPr>
      <w:vertAlign w:val="superscript"/>
    </w:rPr>
  </w:style>
  <w:style w:type="character" w:styleId="HeaderChar" w:customStyle="1">
    <w:name w:val="Header Char"/>
    <w:basedOn w:val="DefaultParagraphFont"/>
    <w:link w:val="Header"/>
    <w:uiPriority w:val="99"/>
    <w:qFormat/>
    <w:rsid w:val="004441d2"/>
    <w:rPr>
      <w:rFonts w:eastAsia="Times New Roman" w:cs="Times New Roman"/>
      <w:szCs w:val="24"/>
      <w:lang w:eastAsia="ar-SA"/>
    </w:rPr>
  </w:style>
  <w:style w:type="character" w:styleId="FooterChar" w:customStyle="1">
    <w:name w:val="Footer Char"/>
    <w:basedOn w:val="DefaultParagraphFont"/>
    <w:link w:val="Footer"/>
    <w:uiPriority w:val="99"/>
    <w:qFormat/>
    <w:rsid w:val="004441d2"/>
    <w:rPr>
      <w:rFonts w:eastAsia="Times New Roman" w:cs="Times New Roman"/>
      <w:szCs w:val="24"/>
      <w:lang w:eastAsia="ar-SA"/>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Annotationtext">
    <w:name w:val="annotation text"/>
    <w:basedOn w:val="Normal"/>
    <w:link w:val="CommentTextChar"/>
    <w:uiPriority w:val="99"/>
    <w:semiHidden/>
    <w:unhideWhenUsed/>
    <w:qFormat/>
    <w:rsid w:val="00c02840"/>
    <w:pPr/>
    <w:rPr>
      <w:sz w:val="20"/>
      <w:szCs w:val="20"/>
    </w:rPr>
  </w:style>
  <w:style w:type="paragraph" w:styleId="Annotationsubject">
    <w:name w:val="annotation subject"/>
    <w:basedOn w:val="Annotationtext"/>
    <w:next w:val="Annotationtext"/>
    <w:link w:val="CommentSubjectChar"/>
    <w:uiPriority w:val="99"/>
    <w:semiHidden/>
    <w:unhideWhenUsed/>
    <w:qFormat/>
    <w:rsid w:val="00c02840"/>
    <w:pPr/>
    <w:rPr>
      <w:b/>
      <w:bCs/>
    </w:rPr>
  </w:style>
  <w:style w:type="paragraph" w:styleId="BalloonText">
    <w:name w:val="Balloon Text"/>
    <w:basedOn w:val="Normal"/>
    <w:link w:val="BalloonTextChar"/>
    <w:uiPriority w:val="99"/>
    <w:semiHidden/>
    <w:unhideWhenUsed/>
    <w:qFormat/>
    <w:rsid w:val="00c02840"/>
    <w:pPr/>
    <w:rPr>
      <w:rFonts w:ascii="Segoe UI" w:hAnsi="Segoe UI" w:cs="Segoe UI"/>
      <w:sz w:val="18"/>
      <w:szCs w:val="18"/>
    </w:rPr>
  </w:style>
  <w:style w:type="paragraph" w:styleId="Dipnot">
    <w:name w:val="Footnote Text"/>
    <w:basedOn w:val="Normal"/>
    <w:link w:val="FootnoteTextChar"/>
    <w:semiHidden/>
    <w:unhideWhenUsed/>
    <w:rsid w:val="00e8306c"/>
    <w:pPr/>
    <w:rPr>
      <w:sz w:val="20"/>
      <w:szCs w:val="20"/>
    </w:rPr>
  </w:style>
  <w:style w:type="paragraph" w:styleId="ListParagraph">
    <w:name w:val="List Paragraph"/>
    <w:basedOn w:val="Normal"/>
    <w:uiPriority w:val="34"/>
    <w:qFormat/>
    <w:rsid w:val="00666e76"/>
    <w:pPr>
      <w:suppressAutoHyphens w:val="true"/>
      <w:spacing w:before="0" w:after="0"/>
      <w:ind w:left="720" w:hanging="0"/>
      <w:contextualSpacing/>
      <w:jc w:val="left"/>
    </w:pPr>
    <w:rPr>
      <w:rFonts w:ascii="Arial" w:hAnsi="Arial"/>
      <w:szCs w:val="20"/>
      <w:lang w:val="en-AU"/>
    </w:rPr>
  </w:style>
  <w:style w:type="paragraph" w:styleId="Default" w:customStyle="1">
    <w:name w:val="Default"/>
    <w:qFormat/>
    <w:rsid w:val="0019267e"/>
    <w:pPr>
      <w:widowControl/>
      <w:bidi w:val="0"/>
      <w:spacing w:lineRule="auto" w:line="240" w:before="0" w:after="0"/>
      <w:jc w:val="left"/>
    </w:pPr>
    <w:rPr>
      <w:rFonts w:ascii="Symbol" w:hAnsi="Symbol" w:cs="Symbol" w:eastAsia="Calibri"/>
      <w:color w:val="000000"/>
      <w:kern w:val="0"/>
      <w:sz w:val="24"/>
      <w:szCs w:val="24"/>
      <w:lang w:val="tr-TR" w:eastAsia="en-US" w:bidi="ar-SA"/>
    </w:rPr>
  </w:style>
  <w:style w:type="paragraph" w:styleId="Stvealtbilgi">
    <w:name w:val="Üst ve alt bilgi"/>
    <w:basedOn w:val="Normal"/>
    <w:qFormat/>
    <w:pPr/>
    <w:rPr/>
  </w:style>
  <w:style w:type="paragraph" w:styleId="Stbilgi">
    <w:name w:val="Header"/>
    <w:basedOn w:val="Normal"/>
    <w:link w:val="HeaderChar"/>
    <w:uiPriority w:val="99"/>
    <w:unhideWhenUsed/>
    <w:rsid w:val="004441d2"/>
    <w:pPr>
      <w:tabs>
        <w:tab w:val="clear" w:pos="709"/>
        <w:tab w:val="center" w:pos="4536" w:leader="none"/>
        <w:tab w:val="right" w:pos="9072" w:leader="none"/>
      </w:tabs>
    </w:pPr>
    <w:rPr/>
  </w:style>
  <w:style w:type="paragraph" w:styleId="Altbilgi">
    <w:name w:val="Footer"/>
    <w:basedOn w:val="Normal"/>
    <w:link w:val="FooterChar"/>
    <w:uiPriority w:val="99"/>
    <w:unhideWhenUsed/>
    <w:rsid w:val="004441d2"/>
    <w:pPr>
      <w:tabs>
        <w:tab w:val="clear" w:pos="709"/>
        <w:tab w:val="center" w:pos="4536" w:leader="none"/>
        <w:tab w:val="right" w:pos="90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8B5E-369E-4404-B58A-89252456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LibreOffice/7.0.3.1$Windows_X86_64 LibreOffice_project/d7547858d014d4cf69878db179d326fc3483e082</Application>
  <Pages>14</Pages>
  <Words>3691</Words>
  <Characters>26387</Characters>
  <CharactersWithSpaces>29671</CharactersWithSpaces>
  <Paragraphs>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2020-08-17T09:24:00Z</dcterms:created>
  <dc:creator>Selim CAN</dc:creator>
  <dc:description/>
  <dc:language>tr-TR</dc:language>
  <cp:lastModifiedBy/>
  <dcterms:modified xsi:type="dcterms:W3CDTF">2020-12-25T14:33:40Z</dcterms:modified>
  <cp:revision>19</cp:revision>
  <dc:subject/>
  <dc:title>Kitlesel Fonlama Bilgi Formu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